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FDD0" w14:textId="4D746910" w:rsidR="00E203C2" w:rsidRPr="007B63FD" w:rsidRDefault="00E203C2" w:rsidP="00F167F5">
      <w:pPr>
        <w:pStyle w:val="FSTitle"/>
      </w:pPr>
      <w:r w:rsidRPr="007B63FD">
        <w:rPr>
          <w:noProof/>
          <w:lang w:eastAsia="en-GB" w:bidi="ar-SA"/>
        </w:rPr>
        <w:drawing>
          <wp:inline distT="0" distB="0" distL="0" distR="0" wp14:anchorId="0779707A" wp14:editId="1461CA31">
            <wp:extent cx="3488400" cy="612000"/>
            <wp:effectExtent l="0" t="0" r="0" b="0"/>
            <wp:docPr id="3" name="Picture 3" descr="Food Standards Australia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od Standards Australia New Zealan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0A8F17A" w14:textId="77777777" w:rsidR="00E203C2" w:rsidRPr="007B63FD" w:rsidRDefault="00E203C2" w:rsidP="00E203C2"/>
    <w:p w14:paraId="040F7FE5" w14:textId="77777777" w:rsidR="002F699A" w:rsidRPr="002F699A" w:rsidRDefault="002F699A" w:rsidP="002F699A">
      <w:pPr>
        <w:pStyle w:val="FSTitle"/>
        <w:rPr>
          <w:b/>
          <w:sz w:val="28"/>
          <w:szCs w:val="28"/>
          <w:lang w:val="en-AU"/>
        </w:rPr>
      </w:pPr>
      <w:r w:rsidRPr="002F699A">
        <w:rPr>
          <w:b/>
          <w:sz w:val="28"/>
          <w:szCs w:val="28"/>
        </w:rPr>
        <w:t>8 February 2023</w:t>
      </w:r>
      <w:r w:rsidRPr="002F699A">
        <w:rPr>
          <w:b/>
          <w:sz w:val="28"/>
          <w:szCs w:val="28"/>
          <w:lang w:val="en-AU"/>
        </w:rPr>
        <w:t> </w:t>
      </w:r>
    </w:p>
    <w:p w14:paraId="61AA20EC" w14:textId="77777777" w:rsidR="002F699A" w:rsidRPr="002F699A" w:rsidRDefault="002F699A" w:rsidP="002F699A">
      <w:pPr>
        <w:pStyle w:val="FSTitle"/>
        <w:rPr>
          <w:b/>
          <w:sz w:val="28"/>
          <w:szCs w:val="28"/>
          <w:lang w:val="en-AU"/>
        </w:rPr>
      </w:pPr>
      <w:r w:rsidRPr="002F699A">
        <w:rPr>
          <w:b/>
          <w:sz w:val="28"/>
          <w:szCs w:val="28"/>
        </w:rPr>
        <w:t>230-23</w:t>
      </w:r>
      <w:r w:rsidRPr="002F699A">
        <w:rPr>
          <w:b/>
          <w:sz w:val="28"/>
          <w:szCs w:val="28"/>
          <w:lang w:val="en-AU"/>
        </w:rPr>
        <w:t> </w:t>
      </w:r>
    </w:p>
    <w:p w14:paraId="2DD83F77" w14:textId="77777777" w:rsidR="0057615C" w:rsidRPr="002F699A" w:rsidRDefault="0057615C" w:rsidP="00690206">
      <w:pPr>
        <w:pStyle w:val="FSTitle"/>
        <w:rPr>
          <w:b/>
          <w:sz w:val="22"/>
        </w:rPr>
      </w:pPr>
    </w:p>
    <w:p w14:paraId="5C078C00" w14:textId="756F6DBA"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p>
    <w:p w14:paraId="2892B8B0" w14:textId="77777777" w:rsidR="00BA24E2" w:rsidRDefault="00BA24E2" w:rsidP="00E203C2"/>
    <w:p w14:paraId="3E21C587" w14:textId="50A689FF" w:rsidR="00E203C2" w:rsidRPr="005738A6" w:rsidRDefault="00484358" w:rsidP="00052B65">
      <w:pPr>
        <w:pStyle w:val="FSTitle"/>
        <w:spacing w:after="240"/>
      </w:pPr>
      <w:r w:rsidRPr="005738A6">
        <w:t xml:space="preserve">Risk and technical assessment </w:t>
      </w:r>
      <w:r w:rsidR="00867942" w:rsidRPr="005738A6">
        <w:t>– Application A1228</w:t>
      </w:r>
    </w:p>
    <w:p w14:paraId="30A3A881" w14:textId="254F8CA3" w:rsidR="00D056F1" w:rsidRPr="005738A6" w:rsidRDefault="00F979CD" w:rsidP="00690206">
      <w:pPr>
        <w:pStyle w:val="FSTitle"/>
      </w:pPr>
      <w:bookmarkStart w:id="0" w:name="_Hlk121319723"/>
      <w:r>
        <w:t>Endo-</w:t>
      </w:r>
      <w:r w:rsidR="00D24CFD">
        <w:t>1,4-beta-x</w:t>
      </w:r>
      <w:r w:rsidR="005738A6" w:rsidRPr="005738A6">
        <w:t xml:space="preserve">ylanase from GM </w:t>
      </w:r>
      <w:r w:rsidR="005738A6" w:rsidRPr="005738A6">
        <w:rPr>
          <w:i/>
          <w:iCs/>
        </w:rPr>
        <w:t xml:space="preserve">Trichoderma </w:t>
      </w:r>
      <w:proofErr w:type="spellStart"/>
      <w:r w:rsidR="005738A6" w:rsidRPr="005738A6">
        <w:rPr>
          <w:i/>
          <w:iCs/>
        </w:rPr>
        <w:t>reesei</w:t>
      </w:r>
      <w:proofErr w:type="spellEnd"/>
      <w:r w:rsidR="005738A6" w:rsidRPr="005738A6">
        <w:t xml:space="preserve"> </w:t>
      </w:r>
      <w:bookmarkStart w:id="1" w:name="_Hlk121314167"/>
      <w:r w:rsidR="00806267">
        <w:t xml:space="preserve">(gene donor: </w:t>
      </w:r>
      <w:proofErr w:type="spellStart"/>
      <w:r w:rsidR="00806267" w:rsidRPr="00806267">
        <w:rPr>
          <w:i/>
          <w:iCs/>
        </w:rPr>
        <w:t>Talaromyces</w:t>
      </w:r>
      <w:proofErr w:type="spellEnd"/>
      <w:r w:rsidR="00806267" w:rsidRPr="00806267">
        <w:rPr>
          <w:i/>
          <w:iCs/>
        </w:rPr>
        <w:t xml:space="preserve"> </w:t>
      </w:r>
      <w:proofErr w:type="spellStart"/>
      <w:r w:rsidR="00806267" w:rsidRPr="00806267">
        <w:rPr>
          <w:i/>
          <w:iCs/>
        </w:rPr>
        <w:t>leycettanus</w:t>
      </w:r>
      <w:proofErr w:type="spellEnd"/>
      <w:r w:rsidR="00806267">
        <w:t>)</w:t>
      </w:r>
      <w:bookmarkEnd w:id="1"/>
      <w:r w:rsidR="00806267">
        <w:t xml:space="preserve"> </w:t>
      </w:r>
      <w:r w:rsidR="005738A6" w:rsidRPr="005738A6">
        <w:t>as a processing aid</w:t>
      </w:r>
    </w:p>
    <w:bookmarkEnd w:id="0"/>
    <w:p w14:paraId="11843C40" w14:textId="77777777" w:rsidR="00E203C2" w:rsidRPr="00B37BF0" w:rsidRDefault="00E203C2" w:rsidP="00E203C2">
      <w:pPr>
        <w:pBdr>
          <w:bottom w:val="single" w:sz="12" w:space="1" w:color="auto"/>
        </w:pBdr>
        <w:spacing w:line="280" w:lineRule="exact"/>
        <w:rPr>
          <w:rFonts w:cs="Arial"/>
          <w:bCs/>
        </w:rPr>
      </w:pPr>
    </w:p>
    <w:p w14:paraId="67AD001C" w14:textId="2F7B0DB1" w:rsidR="00092CDA" w:rsidRPr="00092CDA" w:rsidRDefault="00092CDA" w:rsidP="00052B65">
      <w:pPr>
        <w:pStyle w:val="Heading1"/>
        <w:ind w:left="0" w:firstLine="0"/>
      </w:pPr>
      <w:bookmarkStart w:id="2" w:name="_Toc286391001"/>
      <w:bookmarkStart w:id="3" w:name="_Toc300933414"/>
      <w:bookmarkStart w:id="4" w:name="_Toc121312181"/>
      <w:bookmarkStart w:id="5" w:name="_Toc121322347"/>
      <w:r w:rsidRPr="00092CDA">
        <w:t xml:space="preserve">Executive </w:t>
      </w:r>
      <w:r w:rsidR="00B12F1E">
        <w:t>s</w:t>
      </w:r>
      <w:r w:rsidRPr="00092CDA">
        <w:t>ummary</w:t>
      </w:r>
      <w:bookmarkEnd w:id="2"/>
      <w:bookmarkEnd w:id="3"/>
      <w:bookmarkEnd w:id="4"/>
      <w:bookmarkEnd w:id="5"/>
    </w:p>
    <w:p w14:paraId="2A4D3179" w14:textId="6A3C6D8E" w:rsidR="00020DEB" w:rsidRPr="00052B65" w:rsidRDefault="00C0461B" w:rsidP="3B5023EA">
      <w:pPr>
        <w:spacing w:after="240"/>
        <w:rPr>
          <w:i/>
          <w:iCs/>
        </w:rPr>
      </w:pPr>
      <w:r w:rsidRPr="3B5023EA">
        <w:rPr>
          <w:lang w:val="en-AU"/>
        </w:rPr>
        <w:t xml:space="preserve">Novozymes Australia Pty Limited applied to Food Standards Australia New Zealand (FSANZ) to amend Schedule 18 of the Australia New Zealand Food Standards Code (the Code) to include </w:t>
      </w:r>
      <w:r w:rsidR="00EC046C" w:rsidRPr="3B5023EA">
        <w:rPr>
          <w:lang w:eastAsia="en-AU" w:bidi="ar-SA"/>
        </w:rPr>
        <w:t xml:space="preserve">endo-1,4-beta-xylanase </w:t>
      </w:r>
      <w:r w:rsidRPr="3B5023EA">
        <w:rPr>
          <w:lang w:val="en-AU"/>
        </w:rPr>
        <w:t>(EC 3.2.1.</w:t>
      </w:r>
      <w:r w:rsidR="00020DEB" w:rsidRPr="3B5023EA">
        <w:rPr>
          <w:lang w:val="en-AU"/>
        </w:rPr>
        <w:t>8</w:t>
      </w:r>
      <w:r w:rsidRPr="3B5023EA">
        <w:rPr>
          <w:lang w:val="en-AU"/>
        </w:rPr>
        <w:t xml:space="preserve">) as a processing aid for use in </w:t>
      </w:r>
      <w:bookmarkStart w:id="6" w:name="_Hlk118896213"/>
      <w:r w:rsidR="006531F7">
        <w:t xml:space="preserve">brewing, fats and oils processing, </w:t>
      </w:r>
      <w:r w:rsidR="00605206">
        <w:t xml:space="preserve">grain processing </w:t>
      </w:r>
      <w:r w:rsidR="006531F7">
        <w:t>and potable alcohol production</w:t>
      </w:r>
      <w:bookmarkEnd w:id="6"/>
      <w:r w:rsidRPr="3B5023EA">
        <w:rPr>
          <w:lang w:val="en-AU"/>
        </w:rPr>
        <w:t>. The enzyme is sour</w:t>
      </w:r>
      <w:r w:rsidR="00FB5B7C" w:rsidRPr="3B5023EA">
        <w:rPr>
          <w:lang w:val="en-AU"/>
        </w:rPr>
        <w:t>c</w:t>
      </w:r>
      <w:r w:rsidRPr="3B5023EA">
        <w:rPr>
          <w:lang w:val="en-AU"/>
        </w:rPr>
        <w:t xml:space="preserve">ed from a genetically modified (GM) strain of </w:t>
      </w:r>
      <w:r w:rsidRPr="3B5023EA">
        <w:rPr>
          <w:i/>
          <w:iCs/>
        </w:rPr>
        <w:t xml:space="preserve">Trichoderma </w:t>
      </w:r>
      <w:proofErr w:type="spellStart"/>
      <w:r w:rsidRPr="3B5023EA">
        <w:rPr>
          <w:i/>
          <w:iCs/>
        </w:rPr>
        <w:t>reesei</w:t>
      </w:r>
      <w:proofErr w:type="spellEnd"/>
      <w:r w:rsidRPr="3B5023EA">
        <w:rPr>
          <w:i/>
          <w:iCs/>
        </w:rPr>
        <w:t xml:space="preserve"> </w:t>
      </w:r>
      <w:r w:rsidR="613264BD" w:rsidRPr="3B5023EA">
        <w:rPr>
          <w:i/>
          <w:iCs/>
        </w:rPr>
        <w:t xml:space="preserve">(T. </w:t>
      </w:r>
      <w:proofErr w:type="spellStart"/>
      <w:r w:rsidR="613264BD" w:rsidRPr="3B5023EA">
        <w:rPr>
          <w:i/>
          <w:iCs/>
        </w:rPr>
        <w:t>reesei</w:t>
      </w:r>
      <w:proofErr w:type="spellEnd"/>
      <w:r w:rsidR="613264BD" w:rsidRPr="3B5023EA">
        <w:rPr>
          <w:i/>
          <w:iCs/>
        </w:rPr>
        <w:t xml:space="preserve">) </w:t>
      </w:r>
      <w:r>
        <w:t xml:space="preserve">containing the </w:t>
      </w:r>
      <w:r w:rsidR="00EC046C">
        <w:t xml:space="preserve">endo-1,4-beta-xylanase </w:t>
      </w:r>
      <w:r>
        <w:t xml:space="preserve">gene from </w:t>
      </w:r>
      <w:proofErr w:type="spellStart"/>
      <w:r w:rsidRPr="3B5023EA">
        <w:rPr>
          <w:i/>
          <w:iCs/>
        </w:rPr>
        <w:t>Talaromyces</w:t>
      </w:r>
      <w:proofErr w:type="spellEnd"/>
      <w:r w:rsidRPr="3B5023EA">
        <w:rPr>
          <w:i/>
          <w:iCs/>
        </w:rPr>
        <w:t xml:space="preserve"> </w:t>
      </w:r>
      <w:proofErr w:type="spellStart"/>
      <w:r w:rsidR="00020DEB" w:rsidRPr="3B5023EA">
        <w:rPr>
          <w:i/>
          <w:iCs/>
        </w:rPr>
        <w:t>leycettanus</w:t>
      </w:r>
      <w:proofErr w:type="spellEnd"/>
      <w:r w:rsidRPr="3B5023EA">
        <w:rPr>
          <w:i/>
          <w:iCs/>
        </w:rPr>
        <w:t xml:space="preserve">. </w:t>
      </w:r>
    </w:p>
    <w:p w14:paraId="572E68A1" w14:textId="476D478B" w:rsidR="00020DEB" w:rsidRDefault="00020DEB" w:rsidP="00052B65">
      <w:pPr>
        <w:spacing w:after="240"/>
      </w:pPr>
      <w:r>
        <w:t xml:space="preserve">FSANZ has undertaken an assessment to determine whether the enzyme achieves its technological purpose in the quantity and form proposed to be used and to evaluate </w:t>
      </w:r>
      <w:r w:rsidR="00FC2BEF">
        <w:t xml:space="preserve">any </w:t>
      </w:r>
      <w:r>
        <w:t xml:space="preserve">public health and safety concerns that may arise from </w:t>
      </w:r>
      <w:r w:rsidR="3D6167FF">
        <w:t>its</w:t>
      </w:r>
      <w:r>
        <w:t xml:space="preserve"> use.</w:t>
      </w:r>
      <w:r w:rsidR="000300C8">
        <w:t xml:space="preserve"> </w:t>
      </w:r>
    </w:p>
    <w:p w14:paraId="0001CD95" w14:textId="381526C4" w:rsidR="005B7A7E" w:rsidRDefault="00020DEB" w:rsidP="00CD3AFB">
      <w:pPr>
        <w:widowControl/>
        <w:spacing w:before="120" w:after="120" w:line="259" w:lineRule="auto"/>
        <w:rPr>
          <w:lang w:val="en-AU"/>
        </w:rPr>
      </w:pPr>
      <w:r>
        <w:t>FSANZ concludes that</w:t>
      </w:r>
      <w:r w:rsidR="003D56B7" w:rsidRPr="3B5023EA">
        <w:rPr>
          <w:color w:val="FF0000"/>
          <w:lang w:val="en-AU"/>
        </w:rPr>
        <w:t xml:space="preserve"> </w:t>
      </w:r>
      <w:r w:rsidR="00A9498A" w:rsidRPr="3B5023EA">
        <w:rPr>
          <w:lang w:val="en-AU"/>
        </w:rPr>
        <w:t xml:space="preserve">the proposed use of </w:t>
      </w:r>
      <w:r w:rsidR="006E1327">
        <w:t>the enzyme</w:t>
      </w:r>
      <w:r w:rsidR="00A9498A">
        <w:t xml:space="preserve"> </w:t>
      </w:r>
      <w:r w:rsidR="005B7A7E">
        <w:t>in brewing, fats and oils processing, grain processing and potable alcohol production</w:t>
      </w:r>
      <w:r w:rsidR="005B7A7E" w:rsidRPr="3B5023EA">
        <w:rPr>
          <w:lang w:val="en-AU"/>
        </w:rPr>
        <w:t xml:space="preserve"> </w:t>
      </w:r>
      <w:r w:rsidR="00A9498A" w:rsidRPr="3B5023EA">
        <w:rPr>
          <w:lang w:val="en-AU"/>
        </w:rPr>
        <w:t xml:space="preserve">is technologically justified </w:t>
      </w:r>
      <w:r w:rsidR="00710F4D" w:rsidRPr="3B5023EA">
        <w:rPr>
          <w:lang w:val="en-AU"/>
        </w:rPr>
        <w:t xml:space="preserve">for use at levels consistent with </w:t>
      </w:r>
      <w:r w:rsidR="2642B8D0" w:rsidRPr="3B5023EA">
        <w:rPr>
          <w:lang w:val="en-AU"/>
        </w:rPr>
        <w:t>Good Manufacturing Practice</w:t>
      </w:r>
      <w:r w:rsidR="00A9498A" w:rsidRPr="3B5023EA">
        <w:rPr>
          <w:lang w:val="en-AU"/>
        </w:rPr>
        <w:t>.</w:t>
      </w:r>
      <w:r w:rsidR="005B7A7E" w:rsidRPr="3B5023EA">
        <w:rPr>
          <w:lang w:val="en-AU"/>
        </w:rPr>
        <w:t xml:space="preserve"> </w:t>
      </w:r>
      <w:r w:rsidR="005B7A7E">
        <w:t>Analysis of the evidence provides adequate assurance that the use of this enzyme, in the quantity and form proposed</w:t>
      </w:r>
      <w:r w:rsidR="2AB7060C">
        <w:t>,</w:t>
      </w:r>
      <w:r w:rsidR="005B7A7E">
        <w:t xml:space="preserve"> is justified.</w:t>
      </w:r>
    </w:p>
    <w:p w14:paraId="7C70A42B" w14:textId="7B6CAF88" w:rsidR="00CD3AFB" w:rsidRPr="007F1234" w:rsidRDefault="4120B127" w:rsidP="00CD3AFB">
      <w:pPr>
        <w:widowControl/>
        <w:spacing w:before="120" w:after="120" w:line="259" w:lineRule="auto"/>
      </w:pPr>
      <w:r>
        <w:t xml:space="preserve">No public health and safety concerns were identified in the assessment of </w:t>
      </w:r>
      <w:r w:rsidR="00EC046C">
        <w:t xml:space="preserve">endo-1,4-beta-xylanase </w:t>
      </w:r>
      <w:r>
        <w:t xml:space="preserve">produced by this GM </w:t>
      </w:r>
      <w:r w:rsidRPr="4136C568">
        <w:rPr>
          <w:i/>
          <w:iCs/>
        </w:rPr>
        <w:t xml:space="preserve">T. </w:t>
      </w:r>
      <w:proofErr w:type="spellStart"/>
      <w:r w:rsidRPr="4136C568">
        <w:rPr>
          <w:i/>
          <w:iCs/>
        </w:rPr>
        <w:t>reesei</w:t>
      </w:r>
      <w:proofErr w:type="spellEnd"/>
      <w:r>
        <w:t xml:space="preserve"> under the proposed use conditions. </w:t>
      </w:r>
      <w:r w:rsidRPr="4136C568">
        <w:rPr>
          <w:i/>
          <w:iCs/>
        </w:rPr>
        <w:t xml:space="preserve">T. </w:t>
      </w:r>
      <w:proofErr w:type="spellStart"/>
      <w:r w:rsidRPr="4136C568">
        <w:rPr>
          <w:i/>
          <w:iCs/>
        </w:rPr>
        <w:t>reesei</w:t>
      </w:r>
      <w:proofErr w:type="spellEnd"/>
      <w:r>
        <w:t xml:space="preserve"> has a long history of safe use as a production microorganism of enzyme processing aids, including several that are already permitted in the Code. The production organism is neither pathogenic nor toxigenic</w:t>
      </w:r>
      <w:r w:rsidR="007A6822">
        <w:t xml:space="preserve"> and a biotechnology assessment</w:t>
      </w:r>
      <w:r w:rsidR="003639D9">
        <w:t xml:space="preserve"> </w:t>
      </w:r>
      <w:r>
        <w:t xml:space="preserve">confirmed the presence and stability of the inserted DNA. Bioinformatics analysis indicated that the produced </w:t>
      </w:r>
      <w:r w:rsidR="00EC046C">
        <w:t xml:space="preserve">endo-1,4-beta-xylanase </w:t>
      </w:r>
      <w:r w:rsidR="1ADB59B9">
        <w:t>does not demonstrate</w:t>
      </w:r>
      <w:r>
        <w:t xml:space="preserve"> </w:t>
      </w:r>
      <w:r w:rsidR="1ADB59B9">
        <w:t>substantial</w:t>
      </w:r>
      <w:r>
        <w:t xml:space="preserve"> homology with any known toxins or food allergens.</w:t>
      </w:r>
    </w:p>
    <w:p w14:paraId="085703A7" w14:textId="3F9D0BF2" w:rsidR="00CD3AFB" w:rsidRPr="007F1234" w:rsidRDefault="4120B127" w:rsidP="00CD3AFB">
      <w:pPr>
        <w:widowControl/>
        <w:spacing w:before="120" w:after="120" w:line="259" w:lineRule="auto"/>
      </w:pPr>
      <w:r>
        <w:t xml:space="preserve">Toxicity testing of the </w:t>
      </w:r>
      <w:r w:rsidR="00EC046C">
        <w:t xml:space="preserve">endo-1,4-beta-xylanase </w:t>
      </w:r>
      <w:r>
        <w:t xml:space="preserve">enzyme showed no evidence of genotoxicity </w:t>
      </w:r>
      <w:r w:rsidRPr="005B7A7E">
        <w:rPr>
          <w:i/>
          <w:iCs/>
        </w:rPr>
        <w:t>in vitro</w:t>
      </w:r>
      <w:r>
        <w:t xml:space="preserve"> and the no observed adverse effect level (NOAEL) in a 90-day oral gavage study in rats was the highest dose tested, 1051 mg total organic solids (TOS)/kg body weight (</w:t>
      </w:r>
      <w:proofErr w:type="spellStart"/>
      <w:r>
        <w:t>bw</w:t>
      </w:r>
      <w:proofErr w:type="spellEnd"/>
      <w:r>
        <w:t xml:space="preserve">)/day. The theoretical maximum daily intake (TMDI) </w:t>
      </w:r>
      <w:r w:rsidR="00930CBA">
        <w:t>was</w:t>
      </w:r>
      <w:r>
        <w:t xml:space="preserve"> calculat</w:t>
      </w:r>
      <w:r w:rsidR="00930CBA">
        <w:t>ed</w:t>
      </w:r>
      <w:r w:rsidR="00CA733A">
        <w:t xml:space="preserve"> </w:t>
      </w:r>
      <w:r w:rsidR="00930CBA">
        <w:t>as</w:t>
      </w:r>
      <w:r>
        <w:t xml:space="preserve"> 0.1</w:t>
      </w:r>
      <w:r w:rsidR="00D36D93">
        <w:t>5</w:t>
      </w:r>
      <w:r>
        <w:t xml:space="preserve"> mg TOS/kg body weight/day. Comparison of the NOAEL and the TMDI results in a Margin of Exposure (MOE) of around </w:t>
      </w:r>
      <w:r w:rsidR="00D36D93">
        <w:t>7</w:t>
      </w:r>
      <w:r>
        <w:t>000.</w:t>
      </w:r>
    </w:p>
    <w:p w14:paraId="7CD620CB" w14:textId="08CB7D25" w:rsidR="00020DEB" w:rsidRPr="00020DEB" w:rsidRDefault="00CD3AFB" w:rsidP="002F699A">
      <w:pPr>
        <w:widowControl/>
        <w:spacing w:before="120" w:after="120" w:line="259" w:lineRule="auto"/>
        <w:sectPr w:rsidR="00020DEB" w:rsidRPr="00020DEB" w:rsidSect="0054272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pgNumType w:fmt="lowerRoman" w:start="1"/>
          <w:cols w:space="708"/>
          <w:docGrid w:linePitch="360"/>
        </w:sectPr>
      </w:pPr>
      <w:r w:rsidRPr="007F1234">
        <w:t>Based on the reviewed data it is concluded that in the absence of any identifiable hazard an Acceptable Daily Intake (ADI) ‘not specified’ is appropriate.</w:t>
      </w:r>
    </w:p>
    <w:p w14:paraId="3DB50B20" w14:textId="56FE503B"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60790B99" w14:textId="43BC683A" w:rsidR="00296EE3" w:rsidRDefault="00326D85">
      <w:pPr>
        <w:pStyle w:val="TOC1"/>
        <w:rPr>
          <w:rFonts w:eastAsiaTheme="minorEastAsia" w:cstheme="minorBidi"/>
          <w:b w:val="0"/>
          <w:bCs w:val="0"/>
          <w:caps w:val="0"/>
          <w:noProof/>
          <w:sz w:val="22"/>
          <w:szCs w:val="22"/>
          <w:lang w:val="en-NZ" w:eastAsia="en-NZ" w:bidi="ar-SA"/>
        </w:rPr>
      </w:pPr>
      <w:r>
        <w:fldChar w:fldCharType="begin"/>
      </w:r>
      <w:r>
        <w:instrText xml:space="preserve"> TOC \o "1-3" \h \z \u </w:instrText>
      </w:r>
      <w:r>
        <w:fldChar w:fldCharType="separate"/>
      </w:r>
      <w:hyperlink w:anchor="_Toc121322347" w:history="1">
        <w:r w:rsidR="00296EE3" w:rsidRPr="00877915">
          <w:rPr>
            <w:rStyle w:val="Hyperlink"/>
            <w:noProof/>
          </w:rPr>
          <w:t>Executive summary</w:t>
        </w:r>
        <w:r w:rsidR="00296EE3">
          <w:rPr>
            <w:noProof/>
            <w:webHidden/>
          </w:rPr>
          <w:tab/>
        </w:r>
        <w:r w:rsidR="00296EE3">
          <w:rPr>
            <w:noProof/>
            <w:webHidden/>
          </w:rPr>
          <w:fldChar w:fldCharType="begin"/>
        </w:r>
        <w:r w:rsidR="00296EE3">
          <w:rPr>
            <w:noProof/>
            <w:webHidden/>
          </w:rPr>
          <w:instrText xml:space="preserve"> PAGEREF _Toc121322347 \h </w:instrText>
        </w:r>
        <w:r w:rsidR="00296EE3">
          <w:rPr>
            <w:noProof/>
            <w:webHidden/>
          </w:rPr>
        </w:r>
        <w:r w:rsidR="00296EE3">
          <w:rPr>
            <w:noProof/>
            <w:webHidden/>
          </w:rPr>
          <w:fldChar w:fldCharType="separate"/>
        </w:r>
        <w:r w:rsidR="00296EE3">
          <w:rPr>
            <w:noProof/>
            <w:webHidden/>
          </w:rPr>
          <w:t>i</w:t>
        </w:r>
        <w:r w:rsidR="00296EE3">
          <w:rPr>
            <w:noProof/>
            <w:webHidden/>
          </w:rPr>
          <w:fldChar w:fldCharType="end"/>
        </w:r>
      </w:hyperlink>
    </w:p>
    <w:p w14:paraId="1EBEE153" w14:textId="46DAA5FC" w:rsidR="00296EE3" w:rsidRDefault="00753E28">
      <w:pPr>
        <w:pStyle w:val="TOC1"/>
        <w:rPr>
          <w:rFonts w:eastAsiaTheme="minorEastAsia" w:cstheme="minorBidi"/>
          <w:b w:val="0"/>
          <w:bCs w:val="0"/>
          <w:caps w:val="0"/>
          <w:noProof/>
          <w:sz w:val="22"/>
          <w:szCs w:val="22"/>
          <w:lang w:val="en-NZ" w:eastAsia="en-NZ" w:bidi="ar-SA"/>
        </w:rPr>
      </w:pPr>
      <w:hyperlink w:anchor="_Toc121322348" w:history="1">
        <w:r w:rsidR="00296EE3" w:rsidRPr="00877915">
          <w:rPr>
            <w:rStyle w:val="Hyperlink"/>
            <w:noProof/>
          </w:rPr>
          <w:t>1 Introduction</w:t>
        </w:r>
        <w:r w:rsidR="00296EE3">
          <w:rPr>
            <w:noProof/>
            <w:webHidden/>
          </w:rPr>
          <w:tab/>
        </w:r>
        <w:r w:rsidR="00296EE3">
          <w:rPr>
            <w:noProof/>
            <w:webHidden/>
          </w:rPr>
          <w:fldChar w:fldCharType="begin"/>
        </w:r>
        <w:r w:rsidR="00296EE3">
          <w:rPr>
            <w:noProof/>
            <w:webHidden/>
          </w:rPr>
          <w:instrText xml:space="preserve"> PAGEREF _Toc121322348 \h </w:instrText>
        </w:r>
        <w:r w:rsidR="00296EE3">
          <w:rPr>
            <w:noProof/>
            <w:webHidden/>
          </w:rPr>
        </w:r>
        <w:r w:rsidR="00296EE3">
          <w:rPr>
            <w:noProof/>
            <w:webHidden/>
          </w:rPr>
          <w:fldChar w:fldCharType="separate"/>
        </w:r>
        <w:r w:rsidR="00296EE3">
          <w:rPr>
            <w:noProof/>
            <w:webHidden/>
          </w:rPr>
          <w:t>2</w:t>
        </w:r>
        <w:r w:rsidR="00296EE3">
          <w:rPr>
            <w:noProof/>
            <w:webHidden/>
          </w:rPr>
          <w:fldChar w:fldCharType="end"/>
        </w:r>
      </w:hyperlink>
    </w:p>
    <w:p w14:paraId="1BD6E07B" w14:textId="10C036A5" w:rsidR="00296EE3" w:rsidRDefault="00753E28">
      <w:pPr>
        <w:pStyle w:val="TOC2"/>
        <w:tabs>
          <w:tab w:val="left" w:pos="880"/>
          <w:tab w:val="right" w:leader="dot" w:pos="9060"/>
        </w:tabs>
        <w:rPr>
          <w:rFonts w:eastAsiaTheme="minorEastAsia" w:cstheme="minorBidi"/>
          <w:smallCaps w:val="0"/>
          <w:noProof/>
          <w:sz w:val="22"/>
          <w:szCs w:val="22"/>
          <w:lang w:val="en-NZ" w:eastAsia="en-NZ" w:bidi="ar-SA"/>
        </w:rPr>
      </w:pPr>
      <w:hyperlink w:anchor="_Toc121322349" w:history="1">
        <w:r w:rsidR="00296EE3" w:rsidRPr="00877915">
          <w:rPr>
            <w:rStyle w:val="Hyperlink"/>
            <w:noProof/>
          </w:rPr>
          <w:t>1.1</w:t>
        </w:r>
        <w:r w:rsidR="00296EE3">
          <w:rPr>
            <w:rFonts w:eastAsiaTheme="minorEastAsia" w:cstheme="minorBidi"/>
            <w:smallCaps w:val="0"/>
            <w:noProof/>
            <w:sz w:val="22"/>
            <w:szCs w:val="22"/>
            <w:lang w:val="en-NZ" w:eastAsia="en-NZ" w:bidi="ar-SA"/>
          </w:rPr>
          <w:tab/>
        </w:r>
        <w:r w:rsidR="00296EE3" w:rsidRPr="00877915">
          <w:rPr>
            <w:rStyle w:val="Hyperlink"/>
            <w:noProof/>
          </w:rPr>
          <w:t>Objectives of the assessment</w:t>
        </w:r>
        <w:r w:rsidR="00296EE3">
          <w:rPr>
            <w:noProof/>
            <w:webHidden/>
          </w:rPr>
          <w:tab/>
        </w:r>
        <w:r w:rsidR="00296EE3">
          <w:rPr>
            <w:noProof/>
            <w:webHidden/>
          </w:rPr>
          <w:fldChar w:fldCharType="begin"/>
        </w:r>
        <w:r w:rsidR="00296EE3">
          <w:rPr>
            <w:noProof/>
            <w:webHidden/>
          </w:rPr>
          <w:instrText xml:space="preserve"> PAGEREF _Toc121322349 \h </w:instrText>
        </w:r>
        <w:r w:rsidR="00296EE3">
          <w:rPr>
            <w:noProof/>
            <w:webHidden/>
          </w:rPr>
        </w:r>
        <w:r w:rsidR="00296EE3">
          <w:rPr>
            <w:noProof/>
            <w:webHidden/>
          </w:rPr>
          <w:fldChar w:fldCharType="separate"/>
        </w:r>
        <w:r w:rsidR="00296EE3">
          <w:rPr>
            <w:noProof/>
            <w:webHidden/>
          </w:rPr>
          <w:t>2</w:t>
        </w:r>
        <w:r w:rsidR="00296EE3">
          <w:rPr>
            <w:noProof/>
            <w:webHidden/>
          </w:rPr>
          <w:fldChar w:fldCharType="end"/>
        </w:r>
      </w:hyperlink>
    </w:p>
    <w:p w14:paraId="1D6E926C" w14:textId="34879261" w:rsidR="00296EE3" w:rsidRDefault="00753E28">
      <w:pPr>
        <w:pStyle w:val="TOC1"/>
        <w:rPr>
          <w:rFonts w:eastAsiaTheme="minorEastAsia" w:cstheme="minorBidi"/>
          <w:b w:val="0"/>
          <w:bCs w:val="0"/>
          <w:caps w:val="0"/>
          <w:noProof/>
          <w:sz w:val="22"/>
          <w:szCs w:val="22"/>
          <w:lang w:val="en-NZ" w:eastAsia="en-NZ" w:bidi="ar-SA"/>
        </w:rPr>
      </w:pPr>
      <w:hyperlink w:anchor="_Toc121322350" w:history="1">
        <w:r w:rsidR="00296EE3" w:rsidRPr="00877915">
          <w:rPr>
            <w:rStyle w:val="Hyperlink"/>
            <w:noProof/>
          </w:rPr>
          <w:t>2 Food technology assessment</w:t>
        </w:r>
        <w:r w:rsidR="00296EE3">
          <w:rPr>
            <w:noProof/>
            <w:webHidden/>
          </w:rPr>
          <w:tab/>
        </w:r>
        <w:r w:rsidR="00296EE3">
          <w:rPr>
            <w:noProof/>
            <w:webHidden/>
          </w:rPr>
          <w:fldChar w:fldCharType="begin"/>
        </w:r>
        <w:r w:rsidR="00296EE3">
          <w:rPr>
            <w:noProof/>
            <w:webHidden/>
          </w:rPr>
          <w:instrText xml:space="preserve"> PAGEREF _Toc121322350 \h </w:instrText>
        </w:r>
        <w:r w:rsidR="00296EE3">
          <w:rPr>
            <w:noProof/>
            <w:webHidden/>
          </w:rPr>
        </w:r>
        <w:r w:rsidR="00296EE3">
          <w:rPr>
            <w:noProof/>
            <w:webHidden/>
          </w:rPr>
          <w:fldChar w:fldCharType="separate"/>
        </w:r>
        <w:r w:rsidR="00296EE3">
          <w:rPr>
            <w:noProof/>
            <w:webHidden/>
          </w:rPr>
          <w:t>2</w:t>
        </w:r>
        <w:r w:rsidR="00296EE3">
          <w:rPr>
            <w:noProof/>
            <w:webHidden/>
          </w:rPr>
          <w:fldChar w:fldCharType="end"/>
        </w:r>
      </w:hyperlink>
    </w:p>
    <w:p w14:paraId="35F3F481" w14:textId="1595FD2E" w:rsidR="00296EE3" w:rsidRDefault="00753E28">
      <w:pPr>
        <w:pStyle w:val="TOC2"/>
        <w:tabs>
          <w:tab w:val="right" w:leader="dot" w:pos="9060"/>
        </w:tabs>
        <w:rPr>
          <w:rFonts w:eastAsiaTheme="minorEastAsia" w:cstheme="minorBidi"/>
          <w:smallCaps w:val="0"/>
          <w:noProof/>
          <w:sz w:val="22"/>
          <w:szCs w:val="22"/>
          <w:lang w:val="en-NZ" w:eastAsia="en-NZ" w:bidi="ar-SA"/>
        </w:rPr>
      </w:pPr>
      <w:hyperlink w:anchor="_Toc121322351" w:history="1">
        <w:r w:rsidR="00296EE3" w:rsidRPr="00877915">
          <w:rPr>
            <w:rStyle w:val="Hyperlink"/>
            <w:noProof/>
          </w:rPr>
          <w:t>2.1 Characterisation of the enzyme</w:t>
        </w:r>
        <w:r w:rsidR="00296EE3">
          <w:rPr>
            <w:noProof/>
            <w:webHidden/>
          </w:rPr>
          <w:tab/>
        </w:r>
        <w:r w:rsidR="00296EE3">
          <w:rPr>
            <w:noProof/>
            <w:webHidden/>
          </w:rPr>
          <w:fldChar w:fldCharType="begin"/>
        </w:r>
        <w:r w:rsidR="00296EE3">
          <w:rPr>
            <w:noProof/>
            <w:webHidden/>
          </w:rPr>
          <w:instrText xml:space="preserve"> PAGEREF _Toc121322351 \h </w:instrText>
        </w:r>
        <w:r w:rsidR="00296EE3">
          <w:rPr>
            <w:noProof/>
            <w:webHidden/>
          </w:rPr>
        </w:r>
        <w:r w:rsidR="00296EE3">
          <w:rPr>
            <w:noProof/>
            <w:webHidden/>
          </w:rPr>
          <w:fldChar w:fldCharType="separate"/>
        </w:r>
        <w:r w:rsidR="00296EE3">
          <w:rPr>
            <w:noProof/>
            <w:webHidden/>
          </w:rPr>
          <w:t>2</w:t>
        </w:r>
        <w:r w:rsidR="00296EE3">
          <w:rPr>
            <w:noProof/>
            <w:webHidden/>
          </w:rPr>
          <w:fldChar w:fldCharType="end"/>
        </w:r>
      </w:hyperlink>
    </w:p>
    <w:p w14:paraId="6AF7C656" w14:textId="5FBA23D6" w:rsidR="00296EE3" w:rsidRDefault="00753E28">
      <w:pPr>
        <w:pStyle w:val="TOC3"/>
        <w:rPr>
          <w:rFonts w:eastAsiaTheme="minorEastAsia" w:cstheme="minorBidi"/>
          <w:i w:val="0"/>
          <w:iCs w:val="0"/>
          <w:noProof/>
          <w:sz w:val="22"/>
          <w:szCs w:val="22"/>
          <w:lang w:val="en-NZ" w:eastAsia="en-NZ" w:bidi="ar-SA"/>
        </w:rPr>
      </w:pPr>
      <w:hyperlink w:anchor="_Toc121322352" w:history="1">
        <w:r w:rsidR="00296EE3" w:rsidRPr="00877915">
          <w:rPr>
            <w:rStyle w:val="Hyperlink"/>
            <w:noProof/>
          </w:rPr>
          <w:t>2.1.1 Identity of the enzyme</w:t>
        </w:r>
        <w:r w:rsidR="00296EE3">
          <w:rPr>
            <w:noProof/>
            <w:webHidden/>
          </w:rPr>
          <w:tab/>
        </w:r>
        <w:r w:rsidR="00296EE3">
          <w:rPr>
            <w:noProof/>
            <w:webHidden/>
          </w:rPr>
          <w:fldChar w:fldCharType="begin"/>
        </w:r>
        <w:r w:rsidR="00296EE3">
          <w:rPr>
            <w:noProof/>
            <w:webHidden/>
          </w:rPr>
          <w:instrText xml:space="preserve"> PAGEREF _Toc121322352 \h </w:instrText>
        </w:r>
        <w:r w:rsidR="00296EE3">
          <w:rPr>
            <w:noProof/>
            <w:webHidden/>
          </w:rPr>
        </w:r>
        <w:r w:rsidR="00296EE3">
          <w:rPr>
            <w:noProof/>
            <w:webHidden/>
          </w:rPr>
          <w:fldChar w:fldCharType="separate"/>
        </w:r>
        <w:r w:rsidR="00296EE3">
          <w:rPr>
            <w:noProof/>
            <w:webHidden/>
          </w:rPr>
          <w:t>3</w:t>
        </w:r>
        <w:r w:rsidR="00296EE3">
          <w:rPr>
            <w:noProof/>
            <w:webHidden/>
          </w:rPr>
          <w:fldChar w:fldCharType="end"/>
        </w:r>
      </w:hyperlink>
    </w:p>
    <w:p w14:paraId="3E80CA67" w14:textId="39E8D0DB" w:rsidR="00296EE3" w:rsidRDefault="00753E28">
      <w:pPr>
        <w:pStyle w:val="TOC2"/>
        <w:tabs>
          <w:tab w:val="right" w:leader="dot" w:pos="9060"/>
        </w:tabs>
        <w:rPr>
          <w:rFonts w:eastAsiaTheme="minorEastAsia" w:cstheme="minorBidi"/>
          <w:smallCaps w:val="0"/>
          <w:noProof/>
          <w:sz w:val="22"/>
          <w:szCs w:val="22"/>
          <w:lang w:val="en-NZ" w:eastAsia="en-NZ" w:bidi="ar-SA"/>
        </w:rPr>
      </w:pPr>
      <w:hyperlink w:anchor="_Toc121322353" w:history="1">
        <w:r w:rsidR="00296EE3" w:rsidRPr="00877915">
          <w:rPr>
            <w:rStyle w:val="Hyperlink"/>
            <w:noProof/>
            <w:lang w:eastAsia="en-AU"/>
          </w:rPr>
          <w:t>2.2 Manufacturing process</w:t>
        </w:r>
        <w:r w:rsidR="00296EE3">
          <w:rPr>
            <w:noProof/>
            <w:webHidden/>
          </w:rPr>
          <w:tab/>
        </w:r>
        <w:r w:rsidR="00296EE3">
          <w:rPr>
            <w:noProof/>
            <w:webHidden/>
          </w:rPr>
          <w:fldChar w:fldCharType="begin"/>
        </w:r>
        <w:r w:rsidR="00296EE3">
          <w:rPr>
            <w:noProof/>
            <w:webHidden/>
          </w:rPr>
          <w:instrText xml:space="preserve"> PAGEREF _Toc121322353 \h </w:instrText>
        </w:r>
        <w:r w:rsidR="00296EE3">
          <w:rPr>
            <w:noProof/>
            <w:webHidden/>
          </w:rPr>
        </w:r>
        <w:r w:rsidR="00296EE3">
          <w:rPr>
            <w:noProof/>
            <w:webHidden/>
          </w:rPr>
          <w:fldChar w:fldCharType="separate"/>
        </w:r>
        <w:r w:rsidR="00296EE3">
          <w:rPr>
            <w:noProof/>
            <w:webHidden/>
          </w:rPr>
          <w:t>3</w:t>
        </w:r>
        <w:r w:rsidR="00296EE3">
          <w:rPr>
            <w:noProof/>
            <w:webHidden/>
          </w:rPr>
          <w:fldChar w:fldCharType="end"/>
        </w:r>
      </w:hyperlink>
    </w:p>
    <w:p w14:paraId="6DE1A051" w14:textId="626F69B0" w:rsidR="00296EE3" w:rsidRDefault="00753E28">
      <w:pPr>
        <w:pStyle w:val="TOC3"/>
        <w:rPr>
          <w:rFonts w:eastAsiaTheme="minorEastAsia" w:cstheme="minorBidi"/>
          <w:i w:val="0"/>
          <w:iCs w:val="0"/>
          <w:noProof/>
          <w:sz w:val="22"/>
          <w:szCs w:val="22"/>
          <w:lang w:val="en-NZ" w:eastAsia="en-NZ" w:bidi="ar-SA"/>
        </w:rPr>
      </w:pPr>
      <w:hyperlink w:anchor="_Toc121322354" w:history="1">
        <w:r w:rsidR="00296EE3" w:rsidRPr="00877915">
          <w:rPr>
            <w:rStyle w:val="Hyperlink"/>
            <w:noProof/>
          </w:rPr>
          <w:t>2.2.1 Production of the enzyme</w:t>
        </w:r>
        <w:r w:rsidR="00296EE3">
          <w:rPr>
            <w:noProof/>
            <w:webHidden/>
          </w:rPr>
          <w:tab/>
        </w:r>
        <w:r w:rsidR="00296EE3">
          <w:rPr>
            <w:noProof/>
            <w:webHidden/>
          </w:rPr>
          <w:fldChar w:fldCharType="begin"/>
        </w:r>
        <w:r w:rsidR="00296EE3">
          <w:rPr>
            <w:noProof/>
            <w:webHidden/>
          </w:rPr>
          <w:instrText xml:space="preserve"> PAGEREF _Toc121322354 \h </w:instrText>
        </w:r>
        <w:r w:rsidR="00296EE3">
          <w:rPr>
            <w:noProof/>
            <w:webHidden/>
          </w:rPr>
        </w:r>
        <w:r w:rsidR="00296EE3">
          <w:rPr>
            <w:noProof/>
            <w:webHidden/>
          </w:rPr>
          <w:fldChar w:fldCharType="separate"/>
        </w:r>
        <w:r w:rsidR="00296EE3">
          <w:rPr>
            <w:noProof/>
            <w:webHidden/>
          </w:rPr>
          <w:t>3</w:t>
        </w:r>
        <w:r w:rsidR="00296EE3">
          <w:rPr>
            <w:noProof/>
            <w:webHidden/>
          </w:rPr>
          <w:fldChar w:fldCharType="end"/>
        </w:r>
      </w:hyperlink>
    </w:p>
    <w:p w14:paraId="03D02789" w14:textId="16D80973" w:rsidR="00296EE3" w:rsidRDefault="00753E28">
      <w:pPr>
        <w:pStyle w:val="TOC3"/>
        <w:rPr>
          <w:rFonts w:eastAsiaTheme="minorEastAsia" w:cstheme="minorBidi"/>
          <w:i w:val="0"/>
          <w:iCs w:val="0"/>
          <w:noProof/>
          <w:sz w:val="22"/>
          <w:szCs w:val="22"/>
          <w:lang w:val="en-NZ" w:eastAsia="en-NZ" w:bidi="ar-SA"/>
        </w:rPr>
      </w:pPr>
      <w:hyperlink w:anchor="_Toc121322355" w:history="1">
        <w:r w:rsidR="00296EE3" w:rsidRPr="00877915">
          <w:rPr>
            <w:rStyle w:val="Hyperlink"/>
            <w:noProof/>
          </w:rPr>
          <w:t>2.2.2 Allergen considerations</w:t>
        </w:r>
        <w:r w:rsidR="00296EE3">
          <w:rPr>
            <w:noProof/>
            <w:webHidden/>
          </w:rPr>
          <w:tab/>
        </w:r>
        <w:r w:rsidR="00296EE3">
          <w:rPr>
            <w:noProof/>
            <w:webHidden/>
          </w:rPr>
          <w:fldChar w:fldCharType="begin"/>
        </w:r>
        <w:r w:rsidR="00296EE3">
          <w:rPr>
            <w:noProof/>
            <w:webHidden/>
          </w:rPr>
          <w:instrText xml:space="preserve"> PAGEREF _Toc121322355 \h </w:instrText>
        </w:r>
        <w:r w:rsidR="00296EE3">
          <w:rPr>
            <w:noProof/>
            <w:webHidden/>
          </w:rPr>
        </w:r>
        <w:r w:rsidR="00296EE3">
          <w:rPr>
            <w:noProof/>
            <w:webHidden/>
          </w:rPr>
          <w:fldChar w:fldCharType="separate"/>
        </w:r>
        <w:r w:rsidR="00296EE3">
          <w:rPr>
            <w:noProof/>
            <w:webHidden/>
          </w:rPr>
          <w:t>4</w:t>
        </w:r>
        <w:r w:rsidR="00296EE3">
          <w:rPr>
            <w:noProof/>
            <w:webHidden/>
          </w:rPr>
          <w:fldChar w:fldCharType="end"/>
        </w:r>
      </w:hyperlink>
    </w:p>
    <w:p w14:paraId="638959A8" w14:textId="4BECEED9" w:rsidR="00296EE3" w:rsidRDefault="00753E28">
      <w:pPr>
        <w:pStyle w:val="TOC3"/>
        <w:rPr>
          <w:rFonts w:eastAsiaTheme="minorEastAsia" w:cstheme="minorBidi"/>
          <w:i w:val="0"/>
          <w:iCs w:val="0"/>
          <w:noProof/>
          <w:sz w:val="22"/>
          <w:szCs w:val="22"/>
          <w:lang w:val="en-NZ" w:eastAsia="en-NZ" w:bidi="ar-SA"/>
        </w:rPr>
      </w:pPr>
      <w:hyperlink w:anchor="_Toc121322356" w:history="1">
        <w:r w:rsidR="00296EE3" w:rsidRPr="00877915">
          <w:rPr>
            <w:rStyle w:val="Hyperlink"/>
            <w:noProof/>
          </w:rPr>
          <w:t>2.2.3 Specifications</w:t>
        </w:r>
        <w:r w:rsidR="00296EE3">
          <w:rPr>
            <w:noProof/>
            <w:webHidden/>
          </w:rPr>
          <w:tab/>
        </w:r>
        <w:r w:rsidR="00296EE3">
          <w:rPr>
            <w:noProof/>
            <w:webHidden/>
          </w:rPr>
          <w:fldChar w:fldCharType="begin"/>
        </w:r>
        <w:r w:rsidR="00296EE3">
          <w:rPr>
            <w:noProof/>
            <w:webHidden/>
          </w:rPr>
          <w:instrText xml:space="preserve"> PAGEREF _Toc121322356 \h </w:instrText>
        </w:r>
        <w:r w:rsidR="00296EE3">
          <w:rPr>
            <w:noProof/>
            <w:webHidden/>
          </w:rPr>
        </w:r>
        <w:r w:rsidR="00296EE3">
          <w:rPr>
            <w:noProof/>
            <w:webHidden/>
          </w:rPr>
          <w:fldChar w:fldCharType="separate"/>
        </w:r>
        <w:r w:rsidR="00296EE3">
          <w:rPr>
            <w:noProof/>
            <w:webHidden/>
          </w:rPr>
          <w:t>4</w:t>
        </w:r>
        <w:r w:rsidR="00296EE3">
          <w:rPr>
            <w:noProof/>
            <w:webHidden/>
          </w:rPr>
          <w:fldChar w:fldCharType="end"/>
        </w:r>
      </w:hyperlink>
    </w:p>
    <w:p w14:paraId="2741664A" w14:textId="2BA0EB07" w:rsidR="00296EE3" w:rsidRDefault="00753E28">
      <w:pPr>
        <w:pStyle w:val="TOC2"/>
        <w:tabs>
          <w:tab w:val="right" w:leader="dot" w:pos="9060"/>
        </w:tabs>
        <w:rPr>
          <w:rFonts w:eastAsiaTheme="minorEastAsia" w:cstheme="minorBidi"/>
          <w:smallCaps w:val="0"/>
          <w:noProof/>
          <w:sz w:val="22"/>
          <w:szCs w:val="22"/>
          <w:lang w:val="en-NZ" w:eastAsia="en-NZ" w:bidi="ar-SA"/>
        </w:rPr>
      </w:pPr>
      <w:hyperlink w:anchor="_Toc121322357" w:history="1">
        <w:r w:rsidR="00296EE3" w:rsidRPr="00877915">
          <w:rPr>
            <w:rStyle w:val="Hyperlink"/>
            <w:noProof/>
            <w:lang w:eastAsia="en-AU"/>
          </w:rPr>
          <w:t>2.3 Technological purpose of the enzyme</w:t>
        </w:r>
        <w:r w:rsidR="00296EE3">
          <w:rPr>
            <w:noProof/>
            <w:webHidden/>
          </w:rPr>
          <w:tab/>
        </w:r>
        <w:r w:rsidR="00296EE3">
          <w:rPr>
            <w:noProof/>
            <w:webHidden/>
          </w:rPr>
          <w:fldChar w:fldCharType="begin"/>
        </w:r>
        <w:r w:rsidR="00296EE3">
          <w:rPr>
            <w:noProof/>
            <w:webHidden/>
          </w:rPr>
          <w:instrText xml:space="preserve"> PAGEREF _Toc121322357 \h </w:instrText>
        </w:r>
        <w:r w:rsidR="00296EE3">
          <w:rPr>
            <w:noProof/>
            <w:webHidden/>
          </w:rPr>
        </w:r>
        <w:r w:rsidR="00296EE3">
          <w:rPr>
            <w:noProof/>
            <w:webHidden/>
          </w:rPr>
          <w:fldChar w:fldCharType="separate"/>
        </w:r>
        <w:r w:rsidR="00296EE3">
          <w:rPr>
            <w:noProof/>
            <w:webHidden/>
          </w:rPr>
          <w:t>4</w:t>
        </w:r>
        <w:r w:rsidR="00296EE3">
          <w:rPr>
            <w:noProof/>
            <w:webHidden/>
          </w:rPr>
          <w:fldChar w:fldCharType="end"/>
        </w:r>
      </w:hyperlink>
    </w:p>
    <w:p w14:paraId="12FDD9B6" w14:textId="0B42712C" w:rsidR="00296EE3" w:rsidRDefault="00753E28">
      <w:pPr>
        <w:pStyle w:val="TOC2"/>
        <w:tabs>
          <w:tab w:val="right" w:leader="dot" w:pos="9060"/>
        </w:tabs>
        <w:rPr>
          <w:rFonts w:eastAsiaTheme="minorEastAsia" w:cstheme="minorBidi"/>
          <w:smallCaps w:val="0"/>
          <w:noProof/>
          <w:sz w:val="22"/>
          <w:szCs w:val="22"/>
          <w:lang w:val="en-NZ" w:eastAsia="en-NZ" w:bidi="ar-SA"/>
        </w:rPr>
      </w:pPr>
      <w:hyperlink w:anchor="_Toc121322358" w:history="1">
        <w:r w:rsidR="00296EE3" w:rsidRPr="00877915">
          <w:rPr>
            <w:rStyle w:val="Hyperlink"/>
            <w:noProof/>
            <w:lang w:eastAsia="en-AU"/>
          </w:rPr>
          <w:t>2.4 Technological justification</w:t>
        </w:r>
        <w:r w:rsidR="00296EE3">
          <w:rPr>
            <w:noProof/>
            <w:webHidden/>
          </w:rPr>
          <w:tab/>
        </w:r>
        <w:r w:rsidR="00296EE3">
          <w:rPr>
            <w:noProof/>
            <w:webHidden/>
          </w:rPr>
          <w:fldChar w:fldCharType="begin"/>
        </w:r>
        <w:r w:rsidR="00296EE3">
          <w:rPr>
            <w:noProof/>
            <w:webHidden/>
          </w:rPr>
          <w:instrText xml:space="preserve"> PAGEREF _Toc121322358 \h </w:instrText>
        </w:r>
        <w:r w:rsidR="00296EE3">
          <w:rPr>
            <w:noProof/>
            <w:webHidden/>
          </w:rPr>
        </w:r>
        <w:r w:rsidR="00296EE3">
          <w:rPr>
            <w:noProof/>
            <w:webHidden/>
          </w:rPr>
          <w:fldChar w:fldCharType="separate"/>
        </w:r>
        <w:r w:rsidR="00296EE3">
          <w:rPr>
            <w:noProof/>
            <w:webHidden/>
          </w:rPr>
          <w:t>5</w:t>
        </w:r>
        <w:r w:rsidR="00296EE3">
          <w:rPr>
            <w:noProof/>
            <w:webHidden/>
          </w:rPr>
          <w:fldChar w:fldCharType="end"/>
        </w:r>
      </w:hyperlink>
    </w:p>
    <w:p w14:paraId="2F95D0C4" w14:textId="070A2480" w:rsidR="00296EE3" w:rsidRDefault="00753E28">
      <w:pPr>
        <w:pStyle w:val="TOC2"/>
        <w:tabs>
          <w:tab w:val="right" w:leader="dot" w:pos="9060"/>
        </w:tabs>
        <w:rPr>
          <w:rFonts w:eastAsiaTheme="minorEastAsia" w:cstheme="minorBidi"/>
          <w:smallCaps w:val="0"/>
          <w:noProof/>
          <w:sz w:val="22"/>
          <w:szCs w:val="22"/>
          <w:lang w:val="en-NZ" w:eastAsia="en-NZ" w:bidi="ar-SA"/>
        </w:rPr>
      </w:pPr>
      <w:hyperlink w:anchor="_Toc121322359" w:history="1">
        <w:r w:rsidR="00296EE3" w:rsidRPr="00877915">
          <w:rPr>
            <w:rStyle w:val="Hyperlink"/>
            <w:noProof/>
            <w:lang w:eastAsia="en-AU"/>
          </w:rPr>
          <w:t>2.5 Food technology conclusion</w:t>
        </w:r>
        <w:r w:rsidR="00296EE3">
          <w:rPr>
            <w:noProof/>
            <w:webHidden/>
          </w:rPr>
          <w:tab/>
        </w:r>
        <w:r w:rsidR="00296EE3">
          <w:rPr>
            <w:noProof/>
            <w:webHidden/>
          </w:rPr>
          <w:fldChar w:fldCharType="begin"/>
        </w:r>
        <w:r w:rsidR="00296EE3">
          <w:rPr>
            <w:noProof/>
            <w:webHidden/>
          </w:rPr>
          <w:instrText xml:space="preserve"> PAGEREF _Toc121322359 \h </w:instrText>
        </w:r>
        <w:r w:rsidR="00296EE3">
          <w:rPr>
            <w:noProof/>
            <w:webHidden/>
          </w:rPr>
        </w:r>
        <w:r w:rsidR="00296EE3">
          <w:rPr>
            <w:noProof/>
            <w:webHidden/>
          </w:rPr>
          <w:fldChar w:fldCharType="separate"/>
        </w:r>
        <w:r w:rsidR="00296EE3">
          <w:rPr>
            <w:noProof/>
            <w:webHidden/>
          </w:rPr>
          <w:t>6</w:t>
        </w:r>
        <w:r w:rsidR="00296EE3">
          <w:rPr>
            <w:noProof/>
            <w:webHidden/>
          </w:rPr>
          <w:fldChar w:fldCharType="end"/>
        </w:r>
      </w:hyperlink>
    </w:p>
    <w:p w14:paraId="2176CB24" w14:textId="3C4DEF60" w:rsidR="00296EE3" w:rsidRDefault="00753E28">
      <w:pPr>
        <w:pStyle w:val="TOC1"/>
        <w:rPr>
          <w:rFonts w:eastAsiaTheme="minorEastAsia" w:cstheme="minorBidi"/>
          <w:b w:val="0"/>
          <w:bCs w:val="0"/>
          <w:caps w:val="0"/>
          <w:noProof/>
          <w:sz w:val="22"/>
          <w:szCs w:val="22"/>
          <w:lang w:val="en-NZ" w:eastAsia="en-NZ" w:bidi="ar-SA"/>
        </w:rPr>
      </w:pPr>
      <w:hyperlink w:anchor="_Toc121322360" w:history="1">
        <w:r w:rsidR="00296EE3" w:rsidRPr="00877915">
          <w:rPr>
            <w:rStyle w:val="Hyperlink"/>
            <w:noProof/>
            <w:lang w:eastAsia="en-AU"/>
          </w:rPr>
          <w:t>3 Safety assessment</w:t>
        </w:r>
        <w:r w:rsidR="00296EE3">
          <w:rPr>
            <w:noProof/>
            <w:webHidden/>
          </w:rPr>
          <w:tab/>
        </w:r>
        <w:r w:rsidR="00296EE3">
          <w:rPr>
            <w:noProof/>
            <w:webHidden/>
          </w:rPr>
          <w:fldChar w:fldCharType="begin"/>
        </w:r>
        <w:r w:rsidR="00296EE3">
          <w:rPr>
            <w:noProof/>
            <w:webHidden/>
          </w:rPr>
          <w:instrText xml:space="preserve"> PAGEREF _Toc121322360 \h </w:instrText>
        </w:r>
        <w:r w:rsidR="00296EE3">
          <w:rPr>
            <w:noProof/>
            <w:webHidden/>
          </w:rPr>
        </w:r>
        <w:r w:rsidR="00296EE3">
          <w:rPr>
            <w:noProof/>
            <w:webHidden/>
          </w:rPr>
          <w:fldChar w:fldCharType="separate"/>
        </w:r>
        <w:r w:rsidR="00296EE3">
          <w:rPr>
            <w:noProof/>
            <w:webHidden/>
          </w:rPr>
          <w:t>7</w:t>
        </w:r>
        <w:r w:rsidR="00296EE3">
          <w:rPr>
            <w:noProof/>
            <w:webHidden/>
          </w:rPr>
          <w:fldChar w:fldCharType="end"/>
        </w:r>
      </w:hyperlink>
    </w:p>
    <w:p w14:paraId="655BF90B" w14:textId="1CAFA6F2" w:rsidR="00296EE3" w:rsidRDefault="00753E28">
      <w:pPr>
        <w:pStyle w:val="TOC2"/>
        <w:tabs>
          <w:tab w:val="right" w:leader="dot" w:pos="9060"/>
        </w:tabs>
        <w:rPr>
          <w:rFonts w:eastAsiaTheme="minorEastAsia" w:cstheme="minorBidi"/>
          <w:smallCaps w:val="0"/>
          <w:noProof/>
          <w:sz w:val="22"/>
          <w:szCs w:val="22"/>
          <w:lang w:val="en-NZ" w:eastAsia="en-NZ" w:bidi="ar-SA"/>
        </w:rPr>
      </w:pPr>
      <w:hyperlink w:anchor="_Toc121322361" w:history="1">
        <w:r w:rsidR="00296EE3" w:rsidRPr="00877915">
          <w:rPr>
            <w:rStyle w:val="Hyperlink"/>
            <w:noProof/>
            <w:lang w:eastAsia="en-AU"/>
          </w:rPr>
          <w:t>3.1 History of use</w:t>
        </w:r>
        <w:r w:rsidR="00296EE3">
          <w:rPr>
            <w:noProof/>
            <w:webHidden/>
          </w:rPr>
          <w:tab/>
        </w:r>
        <w:r w:rsidR="00296EE3">
          <w:rPr>
            <w:noProof/>
            <w:webHidden/>
          </w:rPr>
          <w:fldChar w:fldCharType="begin"/>
        </w:r>
        <w:r w:rsidR="00296EE3">
          <w:rPr>
            <w:noProof/>
            <w:webHidden/>
          </w:rPr>
          <w:instrText xml:space="preserve"> PAGEREF _Toc121322361 \h </w:instrText>
        </w:r>
        <w:r w:rsidR="00296EE3">
          <w:rPr>
            <w:noProof/>
            <w:webHidden/>
          </w:rPr>
        </w:r>
        <w:r w:rsidR="00296EE3">
          <w:rPr>
            <w:noProof/>
            <w:webHidden/>
          </w:rPr>
          <w:fldChar w:fldCharType="separate"/>
        </w:r>
        <w:r w:rsidR="00296EE3">
          <w:rPr>
            <w:noProof/>
            <w:webHidden/>
          </w:rPr>
          <w:t>7</w:t>
        </w:r>
        <w:r w:rsidR="00296EE3">
          <w:rPr>
            <w:noProof/>
            <w:webHidden/>
          </w:rPr>
          <w:fldChar w:fldCharType="end"/>
        </w:r>
      </w:hyperlink>
    </w:p>
    <w:p w14:paraId="146E1A74" w14:textId="1A254A82" w:rsidR="00296EE3" w:rsidRDefault="00753E28">
      <w:pPr>
        <w:pStyle w:val="TOC3"/>
        <w:rPr>
          <w:rFonts w:eastAsiaTheme="minorEastAsia" w:cstheme="minorBidi"/>
          <w:i w:val="0"/>
          <w:iCs w:val="0"/>
          <w:noProof/>
          <w:sz w:val="22"/>
          <w:szCs w:val="22"/>
          <w:lang w:val="en-NZ" w:eastAsia="en-NZ" w:bidi="ar-SA"/>
        </w:rPr>
      </w:pPr>
      <w:hyperlink w:anchor="_Toc121322362" w:history="1">
        <w:r w:rsidR="00296EE3" w:rsidRPr="00877915">
          <w:rPr>
            <w:rStyle w:val="Hyperlink"/>
            <w:noProof/>
          </w:rPr>
          <w:t>3.1.1 Host organism</w:t>
        </w:r>
        <w:r w:rsidR="00296EE3">
          <w:rPr>
            <w:noProof/>
            <w:webHidden/>
          </w:rPr>
          <w:tab/>
        </w:r>
        <w:r w:rsidR="00296EE3">
          <w:rPr>
            <w:noProof/>
            <w:webHidden/>
          </w:rPr>
          <w:fldChar w:fldCharType="begin"/>
        </w:r>
        <w:r w:rsidR="00296EE3">
          <w:rPr>
            <w:noProof/>
            <w:webHidden/>
          </w:rPr>
          <w:instrText xml:space="preserve"> PAGEREF _Toc121322362 \h </w:instrText>
        </w:r>
        <w:r w:rsidR="00296EE3">
          <w:rPr>
            <w:noProof/>
            <w:webHidden/>
          </w:rPr>
        </w:r>
        <w:r w:rsidR="00296EE3">
          <w:rPr>
            <w:noProof/>
            <w:webHidden/>
          </w:rPr>
          <w:fldChar w:fldCharType="separate"/>
        </w:r>
        <w:r w:rsidR="00296EE3">
          <w:rPr>
            <w:noProof/>
            <w:webHidden/>
          </w:rPr>
          <w:t>7</w:t>
        </w:r>
        <w:r w:rsidR="00296EE3">
          <w:rPr>
            <w:noProof/>
            <w:webHidden/>
          </w:rPr>
          <w:fldChar w:fldCharType="end"/>
        </w:r>
      </w:hyperlink>
    </w:p>
    <w:p w14:paraId="5EF9867E" w14:textId="2E672210" w:rsidR="00296EE3" w:rsidRDefault="00753E28">
      <w:pPr>
        <w:pStyle w:val="TOC3"/>
        <w:rPr>
          <w:rFonts w:eastAsiaTheme="minorEastAsia" w:cstheme="minorBidi"/>
          <w:i w:val="0"/>
          <w:iCs w:val="0"/>
          <w:noProof/>
          <w:sz w:val="22"/>
          <w:szCs w:val="22"/>
          <w:lang w:val="en-NZ" w:eastAsia="en-NZ" w:bidi="ar-SA"/>
        </w:rPr>
      </w:pPr>
      <w:hyperlink w:anchor="_Toc121322363" w:history="1">
        <w:r w:rsidR="00296EE3" w:rsidRPr="00877915">
          <w:rPr>
            <w:rStyle w:val="Hyperlink"/>
            <w:noProof/>
          </w:rPr>
          <w:t>3.1.2 Gene donor organisms</w:t>
        </w:r>
        <w:r w:rsidR="00296EE3">
          <w:rPr>
            <w:noProof/>
            <w:webHidden/>
          </w:rPr>
          <w:tab/>
        </w:r>
        <w:r w:rsidR="00296EE3">
          <w:rPr>
            <w:noProof/>
            <w:webHidden/>
          </w:rPr>
          <w:fldChar w:fldCharType="begin"/>
        </w:r>
        <w:r w:rsidR="00296EE3">
          <w:rPr>
            <w:noProof/>
            <w:webHidden/>
          </w:rPr>
          <w:instrText xml:space="preserve"> PAGEREF _Toc121322363 \h </w:instrText>
        </w:r>
        <w:r w:rsidR="00296EE3">
          <w:rPr>
            <w:noProof/>
            <w:webHidden/>
          </w:rPr>
        </w:r>
        <w:r w:rsidR="00296EE3">
          <w:rPr>
            <w:noProof/>
            <w:webHidden/>
          </w:rPr>
          <w:fldChar w:fldCharType="separate"/>
        </w:r>
        <w:r w:rsidR="00296EE3">
          <w:rPr>
            <w:noProof/>
            <w:webHidden/>
          </w:rPr>
          <w:t>7</w:t>
        </w:r>
        <w:r w:rsidR="00296EE3">
          <w:rPr>
            <w:noProof/>
            <w:webHidden/>
          </w:rPr>
          <w:fldChar w:fldCharType="end"/>
        </w:r>
      </w:hyperlink>
    </w:p>
    <w:p w14:paraId="25A96C03" w14:textId="729F5202" w:rsidR="00296EE3" w:rsidRDefault="00753E28">
      <w:pPr>
        <w:pStyle w:val="TOC2"/>
        <w:tabs>
          <w:tab w:val="right" w:leader="dot" w:pos="9060"/>
        </w:tabs>
        <w:rPr>
          <w:rFonts w:eastAsiaTheme="minorEastAsia" w:cstheme="minorBidi"/>
          <w:smallCaps w:val="0"/>
          <w:noProof/>
          <w:sz w:val="22"/>
          <w:szCs w:val="22"/>
          <w:lang w:val="en-NZ" w:eastAsia="en-NZ" w:bidi="ar-SA"/>
        </w:rPr>
      </w:pPr>
      <w:hyperlink w:anchor="_Toc121322364" w:history="1">
        <w:r w:rsidR="00296EE3" w:rsidRPr="00877915">
          <w:rPr>
            <w:rStyle w:val="Hyperlink"/>
            <w:noProof/>
            <w:lang w:eastAsia="en-AU"/>
          </w:rPr>
          <w:t>3.2 Characterisation of the genetic modification(s)</w:t>
        </w:r>
        <w:r w:rsidR="00296EE3">
          <w:rPr>
            <w:noProof/>
            <w:webHidden/>
          </w:rPr>
          <w:tab/>
        </w:r>
        <w:r w:rsidR="00296EE3">
          <w:rPr>
            <w:noProof/>
            <w:webHidden/>
          </w:rPr>
          <w:fldChar w:fldCharType="begin"/>
        </w:r>
        <w:r w:rsidR="00296EE3">
          <w:rPr>
            <w:noProof/>
            <w:webHidden/>
          </w:rPr>
          <w:instrText xml:space="preserve"> PAGEREF _Toc121322364 \h </w:instrText>
        </w:r>
        <w:r w:rsidR="00296EE3">
          <w:rPr>
            <w:noProof/>
            <w:webHidden/>
          </w:rPr>
        </w:r>
        <w:r w:rsidR="00296EE3">
          <w:rPr>
            <w:noProof/>
            <w:webHidden/>
          </w:rPr>
          <w:fldChar w:fldCharType="separate"/>
        </w:r>
        <w:r w:rsidR="00296EE3">
          <w:rPr>
            <w:noProof/>
            <w:webHidden/>
          </w:rPr>
          <w:t>8</w:t>
        </w:r>
        <w:r w:rsidR="00296EE3">
          <w:rPr>
            <w:noProof/>
            <w:webHidden/>
          </w:rPr>
          <w:fldChar w:fldCharType="end"/>
        </w:r>
      </w:hyperlink>
    </w:p>
    <w:p w14:paraId="6FA17991" w14:textId="7B983463" w:rsidR="00296EE3" w:rsidRDefault="00753E28">
      <w:pPr>
        <w:pStyle w:val="TOC3"/>
        <w:rPr>
          <w:rFonts w:eastAsiaTheme="minorEastAsia" w:cstheme="minorBidi"/>
          <w:i w:val="0"/>
          <w:iCs w:val="0"/>
          <w:noProof/>
          <w:sz w:val="22"/>
          <w:szCs w:val="22"/>
          <w:lang w:val="en-NZ" w:eastAsia="en-NZ" w:bidi="ar-SA"/>
        </w:rPr>
      </w:pPr>
      <w:hyperlink w:anchor="_Toc121322365" w:history="1">
        <w:r w:rsidR="00296EE3" w:rsidRPr="00877915">
          <w:rPr>
            <w:rStyle w:val="Hyperlink"/>
            <w:noProof/>
          </w:rPr>
          <w:t>3.2.1 Description of the DNA to be introduced and method of transformation</w:t>
        </w:r>
        <w:r w:rsidR="00296EE3">
          <w:rPr>
            <w:noProof/>
            <w:webHidden/>
          </w:rPr>
          <w:tab/>
        </w:r>
        <w:r w:rsidR="00296EE3">
          <w:rPr>
            <w:noProof/>
            <w:webHidden/>
          </w:rPr>
          <w:fldChar w:fldCharType="begin"/>
        </w:r>
        <w:r w:rsidR="00296EE3">
          <w:rPr>
            <w:noProof/>
            <w:webHidden/>
          </w:rPr>
          <w:instrText xml:space="preserve"> PAGEREF _Toc121322365 \h </w:instrText>
        </w:r>
        <w:r w:rsidR="00296EE3">
          <w:rPr>
            <w:noProof/>
            <w:webHidden/>
          </w:rPr>
        </w:r>
        <w:r w:rsidR="00296EE3">
          <w:rPr>
            <w:noProof/>
            <w:webHidden/>
          </w:rPr>
          <w:fldChar w:fldCharType="separate"/>
        </w:r>
        <w:r w:rsidR="00296EE3">
          <w:rPr>
            <w:noProof/>
            <w:webHidden/>
          </w:rPr>
          <w:t>8</w:t>
        </w:r>
        <w:r w:rsidR="00296EE3">
          <w:rPr>
            <w:noProof/>
            <w:webHidden/>
          </w:rPr>
          <w:fldChar w:fldCharType="end"/>
        </w:r>
      </w:hyperlink>
    </w:p>
    <w:p w14:paraId="20C19EA6" w14:textId="3764DBCE" w:rsidR="00296EE3" w:rsidRDefault="00753E28">
      <w:pPr>
        <w:pStyle w:val="TOC3"/>
        <w:rPr>
          <w:rFonts w:eastAsiaTheme="minorEastAsia" w:cstheme="minorBidi"/>
          <w:i w:val="0"/>
          <w:iCs w:val="0"/>
          <w:noProof/>
          <w:sz w:val="22"/>
          <w:szCs w:val="22"/>
          <w:lang w:val="en-NZ" w:eastAsia="en-NZ" w:bidi="ar-SA"/>
        </w:rPr>
      </w:pPr>
      <w:hyperlink w:anchor="_Toc121322366" w:history="1">
        <w:r w:rsidR="00296EE3" w:rsidRPr="00877915">
          <w:rPr>
            <w:rStyle w:val="Hyperlink"/>
            <w:noProof/>
          </w:rPr>
          <w:t>3.2.2 Characterisation of inserted DNA</w:t>
        </w:r>
        <w:r w:rsidR="00296EE3">
          <w:rPr>
            <w:noProof/>
            <w:webHidden/>
          </w:rPr>
          <w:tab/>
        </w:r>
        <w:r w:rsidR="00296EE3">
          <w:rPr>
            <w:noProof/>
            <w:webHidden/>
          </w:rPr>
          <w:fldChar w:fldCharType="begin"/>
        </w:r>
        <w:r w:rsidR="00296EE3">
          <w:rPr>
            <w:noProof/>
            <w:webHidden/>
          </w:rPr>
          <w:instrText xml:space="preserve"> PAGEREF _Toc121322366 \h </w:instrText>
        </w:r>
        <w:r w:rsidR="00296EE3">
          <w:rPr>
            <w:noProof/>
            <w:webHidden/>
          </w:rPr>
        </w:r>
        <w:r w:rsidR="00296EE3">
          <w:rPr>
            <w:noProof/>
            <w:webHidden/>
          </w:rPr>
          <w:fldChar w:fldCharType="separate"/>
        </w:r>
        <w:r w:rsidR="00296EE3">
          <w:rPr>
            <w:noProof/>
            <w:webHidden/>
          </w:rPr>
          <w:t>8</w:t>
        </w:r>
        <w:r w:rsidR="00296EE3">
          <w:rPr>
            <w:noProof/>
            <w:webHidden/>
          </w:rPr>
          <w:fldChar w:fldCharType="end"/>
        </w:r>
      </w:hyperlink>
    </w:p>
    <w:p w14:paraId="3EEFFA3B" w14:textId="589A96D0" w:rsidR="00296EE3" w:rsidRDefault="00753E28">
      <w:pPr>
        <w:pStyle w:val="TOC3"/>
        <w:rPr>
          <w:rFonts w:eastAsiaTheme="minorEastAsia" w:cstheme="minorBidi"/>
          <w:i w:val="0"/>
          <w:iCs w:val="0"/>
          <w:noProof/>
          <w:sz w:val="22"/>
          <w:szCs w:val="22"/>
          <w:lang w:val="en-NZ" w:eastAsia="en-NZ" w:bidi="ar-SA"/>
        </w:rPr>
      </w:pPr>
      <w:hyperlink w:anchor="_Toc121322367" w:history="1">
        <w:r w:rsidR="00296EE3" w:rsidRPr="00877915">
          <w:rPr>
            <w:rStyle w:val="Hyperlink"/>
            <w:noProof/>
          </w:rPr>
          <w:t>3.2.3 Genetic stability of the inserted gene</w:t>
        </w:r>
        <w:r w:rsidR="00296EE3">
          <w:rPr>
            <w:noProof/>
            <w:webHidden/>
          </w:rPr>
          <w:tab/>
        </w:r>
        <w:r w:rsidR="00296EE3">
          <w:rPr>
            <w:noProof/>
            <w:webHidden/>
          </w:rPr>
          <w:fldChar w:fldCharType="begin"/>
        </w:r>
        <w:r w:rsidR="00296EE3">
          <w:rPr>
            <w:noProof/>
            <w:webHidden/>
          </w:rPr>
          <w:instrText xml:space="preserve"> PAGEREF _Toc121322367 \h </w:instrText>
        </w:r>
        <w:r w:rsidR="00296EE3">
          <w:rPr>
            <w:noProof/>
            <w:webHidden/>
          </w:rPr>
        </w:r>
        <w:r w:rsidR="00296EE3">
          <w:rPr>
            <w:noProof/>
            <w:webHidden/>
          </w:rPr>
          <w:fldChar w:fldCharType="separate"/>
        </w:r>
        <w:r w:rsidR="00296EE3">
          <w:rPr>
            <w:noProof/>
            <w:webHidden/>
          </w:rPr>
          <w:t>8</w:t>
        </w:r>
        <w:r w:rsidR="00296EE3">
          <w:rPr>
            <w:noProof/>
            <w:webHidden/>
          </w:rPr>
          <w:fldChar w:fldCharType="end"/>
        </w:r>
      </w:hyperlink>
    </w:p>
    <w:p w14:paraId="175F7E8E" w14:textId="09C791A1" w:rsidR="00296EE3" w:rsidRDefault="00753E28">
      <w:pPr>
        <w:pStyle w:val="TOC2"/>
        <w:tabs>
          <w:tab w:val="right" w:leader="dot" w:pos="9060"/>
        </w:tabs>
        <w:rPr>
          <w:rFonts w:eastAsiaTheme="minorEastAsia" w:cstheme="minorBidi"/>
          <w:smallCaps w:val="0"/>
          <w:noProof/>
          <w:sz w:val="22"/>
          <w:szCs w:val="22"/>
          <w:lang w:val="en-NZ" w:eastAsia="en-NZ" w:bidi="ar-SA"/>
        </w:rPr>
      </w:pPr>
      <w:hyperlink w:anchor="_Toc121322368" w:history="1">
        <w:r w:rsidR="00296EE3" w:rsidRPr="00877915">
          <w:rPr>
            <w:rStyle w:val="Hyperlink"/>
            <w:noProof/>
            <w:lang w:eastAsia="en-AU"/>
          </w:rPr>
          <w:t>3.3 Safety of endo-1,4-beta-xylanase</w:t>
        </w:r>
        <w:r w:rsidR="00296EE3">
          <w:rPr>
            <w:noProof/>
            <w:webHidden/>
          </w:rPr>
          <w:tab/>
        </w:r>
        <w:r w:rsidR="00296EE3">
          <w:rPr>
            <w:noProof/>
            <w:webHidden/>
          </w:rPr>
          <w:fldChar w:fldCharType="begin"/>
        </w:r>
        <w:r w:rsidR="00296EE3">
          <w:rPr>
            <w:noProof/>
            <w:webHidden/>
          </w:rPr>
          <w:instrText xml:space="preserve"> PAGEREF _Toc121322368 \h </w:instrText>
        </w:r>
        <w:r w:rsidR="00296EE3">
          <w:rPr>
            <w:noProof/>
            <w:webHidden/>
          </w:rPr>
        </w:r>
        <w:r w:rsidR="00296EE3">
          <w:rPr>
            <w:noProof/>
            <w:webHidden/>
          </w:rPr>
          <w:fldChar w:fldCharType="separate"/>
        </w:r>
        <w:r w:rsidR="00296EE3">
          <w:rPr>
            <w:noProof/>
            <w:webHidden/>
          </w:rPr>
          <w:t>8</w:t>
        </w:r>
        <w:r w:rsidR="00296EE3">
          <w:rPr>
            <w:noProof/>
            <w:webHidden/>
          </w:rPr>
          <w:fldChar w:fldCharType="end"/>
        </w:r>
      </w:hyperlink>
    </w:p>
    <w:p w14:paraId="4586CE40" w14:textId="2CD1D437" w:rsidR="00296EE3" w:rsidRDefault="00753E28">
      <w:pPr>
        <w:pStyle w:val="TOC3"/>
        <w:rPr>
          <w:rFonts w:eastAsiaTheme="minorEastAsia" w:cstheme="minorBidi"/>
          <w:i w:val="0"/>
          <w:iCs w:val="0"/>
          <w:noProof/>
          <w:sz w:val="22"/>
          <w:szCs w:val="22"/>
          <w:lang w:val="en-NZ" w:eastAsia="en-NZ" w:bidi="ar-SA"/>
        </w:rPr>
      </w:pPr>
      <w:hyperlink w:anchor="_Toc121322369" w:history="1">
        <w:r w:rsidR="00296EE3" w:rsidRPr="00877915">
          <w:rPr>
            <w:rStyle w:val="Hyperlink"/>
            <w:noProof/>
          </w:rPr>
          <w:t>3.3.1 History of safe use</w:t>
        </w:r>
        <w:r w:rsidR="00296EE3">
          <w:rPr>
            <w:noProof/>
            <w:webHidden/>
          </w:rPr>
          <w:tab/>
        </w:r>
        <w:r w:rsidR="00296EE3">
          <w:rPr>
            <w:noProof/>
            <w:webHidden/>
          </w:rPr>
          <w:fldChar w:fldCharType="begin"/>
        </w:r>
        <w:r w:rsidR="00296EE3">
          <w:rPr>
            <w:noProof/>
            <w:webHidden/>
          </w:rPr>
          <w:instrText xml:space="preserve"> PAGEREF _Toc121322369 \h </w:instrText>
        </w:r>
        <w:r w:rsidR="00296EE3">
          <w:rPr>
            <w:noProof/>
            <w:webHidden/>
          </w:rPr>
        </w:r>
        <w:r w:rsidR="00296EE3">
          <w:rPr>
            <w:noProof/>
            <w:webHidden/>
          </w:rPr>
          <w:fldChar w:fldCharType="separate"/>
        </w:r>
        <w:r w:rsidR="00296EE3">
          <w:rPr>
            <w:noProof/>
            <w:webHidden/>
          </w:rPr>
          <w:t>8</w:t>
        </w:r>
        <w:r w:rsidR="00296EE3">
          <w:rPr>
            <w:noProof/>
            <w:webHidden/>
          </w:rPr>
          <w:fldChar w:fldCharType="end"/>
        </w:r>
      </w:hyperlink>
    </w:p>
    <w:p w14:paraId="5FA33DB9" w14:textId="454CC831" w:rsidR="00296EE3" w:rsidRDefault="00753E28">
      <w:pPr>
        <w:pStyle w:val="TOC3"/>
        <w:rPr>
          <w:rFonts w:eastAsiaTheme="minorEastAsia" w:cstheme="minorBidi"/>
          <w:i w:val="0"/>
          <w:iCs w:val="0"/>
          <w:noProof/>
          <w:sz w:val="22"/>
          <w:szCs w:val="22"/>
          <w:lang w:val="en-NZ" w:eastAsia="en-NZ" w:bidi="ar-SA"/>
        </w:rPr>
      </w:pPr>
      <w:hyperlink w:anchor="_Toc121322370" w:history="1">
        <w:r w:rsidR="00296EE3" w:rsidRPr="00877915">
          <w:rPr>
            <w:rStyle w:val="Hyperlink"/>
            <w:noProof/>
          </w:rPr>
          <w:t>3.3.2 Bioinformatics assessment for enzyme toxicity</w:t>
        </w:r>
        <w:r w:rsidR="00296EE3">
          <w:rPr>
            <w:noProof/>
            <w:webHidden/>
          </w:rPr>
          <w:tab/>
        </w:r>
        <w:r w:rsidR="00296EE3">
          <w:rPr>
            <w:noProof/>
            <w:webHidden/>
          </w:rPr>
          <w:fldChar w:fldCharType="begin"/>
        </w:r>
        <w:r w:rsidR="00296EE3">
          <w:rPr>
            <w:noProof/>
            <w:webHidden/>
          </w:rPr>
          <w:instrText xml:space="preserve"> PAGEREF _Toc121322370 \h </w:instrText>
        </w:r>
        <w:r w:rsidR="00296EE3">
          <w:rPr>
            <w:noProof/>
            <w:webHidden/>
          </w:rPr>
        </w:r>
        <w:r w:rsidR="00296EE3">
          <w:rPr>
            <w:noProof/>
            <w:webHidden/>
          </w:rPr>
          <w:fldChar w:fldCharType="separate"/>
        </w:r>
        <w:r w:rsidR="00296EE3">
          <w:rPr>
            <w:noProof/>
            <w:webHidden/>
          </w:rPr>
          <w:t>9</w:t>
        </w:r>
        <w:r w:rsidR="00296EE3">
          <w:rPr>
            <w:noProof/>
            <w:webHidden/>
          </w:rPr>
          <w:fldChar w:fldCharType="end"/>
        </w:r>
      </w:hyperlink>
    </w:p>
    <w:p w14:paraId="1483BF32" w14:textId="62833669" w:rsidR="00296EE3" w:rsidRDefault="00753E28">
      <w:pPr>
        <w:pStyle w:val="TOC3"/>
        <w:rPr>
          <w:rFonts w:eastAsiaTheme="minorEastAsia" w:cstheme="minorBidi"/>
          <w:i w:val="0"/>
          <w:iCs w:val="0"/>
          <w:noProof/>
          <w:sz w:val="22"/>
          <w:szCs w:val="22"/>
          <w:lang w:val="en-NZ" w:eastAsia="en-NZ" w:bidi="ar-SA"/>
        </w:rPr>
      </w:pPr>
      <w:hyperlink w:anchor="_Toc121322371" w:history="1">
        <w:r w:rsidR="00296EE3" w:rsidRPr="00877915">
          <w:rPr>
            <w:rStyle w:val="Hyperlink"/>
            <w:noProof/>
          </w:rPr>
          <w:t>3.3.3 Evaluation of toxicity studies</w:t>
        </w:r>
        <w:r w:rsidR="00296EE3">
          <w:rPr>
            <w:noProof/>
            <w:webHidden/>
          </w:rPr>
          <w:tab/>
        </w:r>
        <w:r w:rsidR="00296EE3">
          <w:rPr>
            <w:noProof/>
            <w:webHidden/>
          </w:rPr>
          <w:fldChar w:fldCharType="begin"/>
        </w:r>
        <w:r w:rsidR="00296EE3">
          <w:rPr>
            <w:noProof/>
            <w:webHidden/>
          </w:rPr>
          <w:instrText xml:space="preserve"> PAGEREF _Toc121322371 \h </w:instrText>
        </w:r>
        <w:r w:rsidR="00296EE3">
          <w:rPr>
            <w:noProof/>
            <w:webHidden/>
          </w:rPr>
        </w:r>
        <w:r w:rsidR="00296EE3">
          <w:rPr>
            <w:noProof/>
            <w:webHidden/>
          </w:rPr>
          <w:fldChar w:fldCharType="separate"/>
        </w:r>
        <w:r w:rsidR="00296EE3">
          <w:rPr>
            <w:noProof/>
            <w:webHidden/>
          </w:rPr>
          <w:t>9</w:t>
        </w:r>
        <w:r w:rsidR="00296EE3">
          <w:rPr>
            <w:noProof/>
            <w:webHidden/>
          </w:rPr>
          <w:fldChar w:fldCharType="end"/>
        </w:r>
      </w:hyperlink>
    </w:p>
    <w:p w14:paraId="1D4AA49A" w14:textId="34809E11" w:rsidR="00296EE3" w:rsidRDefault="00753E28">
      <w:pPr>
        <w:pStyle w:val="TOC3"/>
        <w:rPr>
          <w:rFonts w:eastAsiaTheme="minorEastAsia" w:cstheme="minorBidi"/>
          <w:i w:val="0"/>
          <w:iCs w:val="0"/>
          <w:noProof/>
          <w:sz w:val="22"/>
          <w:szCs w:val="22"/>
          <w:lang w:val="en-NZ" w:eastAsia="en-NZ" w:bidi="ar-SA"/>
        </w:rPr>
      </w:pPr>
      <w:hyperlink w:anchor="_Toc121322372" w:history="1">
        <w:r w:rsidR="00296EE3" w:rsidRPr="00877915">
          <w:rPr>
            <w:rStyle w:val="Hyperlink"/>
            <w:noProof/>
          </w:rPr>
          <w:t>3.3.4 Potential for allergenicity</w:t>
        </w:r>
        <w:r w:rsidR="00296EE3">
          <w:rPr>
            <w:noProof/>
            <w:webHidden/>
          </w:rPr>
          <w:tab/>
        </w:r>
        <w:r w:rsidR="00296EE3">
          <w:rPr>
            <w:noProof/>
            <w:webHidden/>
          </w:rPr>
          <w:fldChar w:fldCharType="begin"/>
        </w:r>
        <w:r w:rsidR="00296EE3">
          <w:rPr>
            <w:noProof/>
            <w:webHidden/>
          </w:rPr>
          <w:instrText xml:space="preserve"> PAGEREF _Toc121322372 \h </w:instrText>
        </w:r>
        <w:r w:rsidR="00296EE3">
          <w:rPr>
            <w:noProof/>
            <w:webHidden/>
          </w:rPr>
        </w:r>
        <w:r w:rsidR="00296EE3">
          <w:rPr>
            <w:noProof/>
            <w:webHidden/>
          </w:rPr>
          <w:fldChar w:fldCharType="separate"/>
        </w:r>
        <w:r w:rsidR="00296EE3">
          <w:rPr>
            <w:noProof/>
            <w:webHidden/>
          </w:rPr>
          <w:t>10</w:t>
        </w:r>
        <w:r w:rsidR="00296EE3">
          <w:rPr>
            <w:noProof/>
            <w:webHidden/>
          </w:rPr>
          <w:fldChar w:fldCharType="end"/>
        </w:r>
      </w:hyperlink>
    </w:p>
    <w:p w14:paraId="53996DB4" w14:textId="075BBE86" w:rsidR="00296EE3" w:rsidRDefault="00753E28">
      <w:pPr>
        <w:pStyle w:val="TOC3"/>
        <w:rPr>
          <w:rFonts w:eastAsiaTheme="minorEastAsia" w:cstheme="minorBidi"/>
          <w:i w:val="0"/>
          <w:iCs w:val="0"/>
          <w:noProof/>
          <w:sz w:val="22"/>
          <w:szCs w:val="22"/>
          <w:lang w:val="en-NZ" w:eastAsia="en-NZ" w:bidi="ar-SA"/>
        </w:rPr>
      </w:pPr>
      <w:hyperlink w:anchor="_Toc121322373" w:history="1">
        <w:r w:rsidR="00296EE3" w:rsidRPr="00877915">
          <w:rPr>
            <w:rStyle w:val="Hyperlink"/>
            <w:noProof/>
          </w:rPr>
          <w:t>3.3.5 Assessments by other regulatory agencies</w:t>
        </w:r>
        <w:r w:rsidR="00296EE3">
          <w:rPr>
            <w:noProof/>
            <w:webHidden/>
          </w:rPr>
          <w:tab/>
        </w:r>
        <w:r w:rsidR="00296EE3">
          <w:rPr>
            <w:noProof/>
            <w:webHidden/>
          </w:rPr>
          <w:fldChar w:fldCharType="begin"/>
        </w:r>
        <w:r w:rsidR="00296EE3">
          <w:rPr>
            <w:noProof/>
            <w:webHidden/>
          </w:rPr>
          <w:instrText xml:space="preserve"> PAGEREF _Toc121322373 \h </w:instrText>
        </w:r>
        <w:r w:rsidR="00296EE3">
          <w:rPr>
            <w:noProof/>
            <w:webHidden/>
          </w:rPr>
        </w:r>
        <w:r w:rsidR="00296EE3">
          <w:rPr>
            <w:noProof/>
            <w:webHidden/>
          </w:rPr>
          <w:fldChar w:fldCharType="separate"/>
        </w:r>
        <w:r w:rsidR="00296EE3">
          <w:rPr>
            <w:noProof/>
            <w:webHidden/>
          </w:rPr>
          <w:t>11</w:t>
        </w:r>
        <w:r w:rsidR="00296EE3">
          <w:rPr>
            <w:noProof/>
            <w:webHidden/>
          </w:rPr>
          <w:fldChar w:fldCharType="end"/>
        </w:r>
      </w:hyperlink>
    </w:p>
    <w:p w14:paraId="4012705A" w14:textId="7C0F4AEC" w:rsidR="00296EE3" w:rsidRDefault="00753E28">
      <w:pPr>
        <w:pStyle w:val="TOC2"/>
        <w:tabs>
          <w:tab w:val="right" w:leader="dot" w:pos="9060"/>
        </w:tabs>
        <w:rPr>
          <w:rFonts w:eastAsiaTheme="minorEastAsia" w:cstheme="minorBidi"/>
          <w:smallCaps w:val="0"/>
          <w:noProof/>
          <w:sz w:val="22"/>
          <w:szCs w:val="22"/>
          <w:lang w:val="en-NZ" w:eastAsia="en-NZ" w:bidi="ar-SA"/>
        </w:rPr>
      </w:pPr>
      <w:hyperlink w:anchor="_Toc121322374" w:history="1">
        <w:r w:rsidR="00296EE3" w:rsidRPr="00877915">
          <w:rPr>
            <w:rStyle w:val="Hyperlink"/>
            <w:noProof/>
            <w:lang w:eastAsia="en-AU"/>
          </w:rPr>
          <w:t>3.4 Dietary exposure assessment</w:t>
        </w:r>
        <w:r w:rsidR="00296EE3">
          <w:rPr>
            <w:noProof/>
            <w:webHidden/>
          </w:rPr>
          <w:tab/>
        </w:r>
        <w:r w:rsidR="00296EE3">
          <w:rPr>
            <w:noProof/>
            <w:webHidden/>
          </w:rPr>
          <w:fldChar w:fldCharType="begin"/>
        </w:r>
        <w:r w:rsidR="00296EE3">
          <w:rPr>
            <w:noProof/>
            <w:webHidden/>
          </w:rPr>
          <w:instrText xml:space="preserve"> PAGEREF _Toc121322374 \h </w:instrText>
        </w:r>
        <w:r w:rsidR="00296EE3">
          <w:rPr>
            <w:noProof/>
            <w:webHidden/>
          </w:rPr>
        </w:r>
        <w:r w:rsidR="00296EE3">
          <w:rPr>
            <w:noProof/>
            <w:webHidden/>
          </w:rPr>
          <w:fldChar w:fldCharType="separate"/>
        </w:r>
        <w:r w:rsidR="00296EE3">
          <w:rPr>
            <w:noProof/>
            <w:webHidden/>
          </w:rPr>
          <w:t>11</w:t>
        </w:r>
        <w:r w:rsidR="00296EE3">
          <w:rPr>
            <w:noProof/>
            <w:webHidden/>
          </w:rPr>
          <w:fldChar w:fldCharType="end"/>
        </w:r>
      </w:hyperlink>
    </w:p>
    <w:p w14:paraId="1E6CFDFF" w14:textId="7F6185D7" w:rsidR="00296EE3" w:rsidRDefault="00753E28">
      <w:pPr>
        <w:pStyle w:val="TOC1"/>
        <w:rPr>
          <w:rFonts w:eastAsiaTheme="minorEastAsia" w:cstheme="minorBidi"/>
          <w:b w:val="0"/>
          <w:bCs w:val="0"/>
          <w:caps w:val="0"/>
          <w:noProof/>
          <w:sz w:val="22"/>
          <w:szCs w:val="22"/>
          <w:lang w:val="en-NZ" w:eastAsia="en-NZ" w:bidi="ar-SA"/>
        </w:rPr>
      </w:pPr>
      <w:hyperlink w:anchor="_Toc121322375" w:history="1">
        <w:r w:rsidR="00296EE3" w:rsidRPr="00877915">
          <w:rPr>
            <w:rStyle w:val="Hyperlink"/>
            <w:noProof/>
            <w:lang w:eastAsia="en-AU"/>
          </w:rPr>
          <w:t>4 Discussion</w:t>
        </w:r>
        <w:r w:rsidR="00296EE3">
          <w:rPr>
            <w:noProof/>
            <w:webHidden/>
          </w:rPr>
          <w:tab/>
        </w:r>
        <w:r w:rsidR="00296EE3">
          <w:rPr>
            <w:noProof/>
            <w:webHidden/>
          </w:rPr>
          <w:fldChar w:fldCharType="begin"/>
        </w:r>
        <w:r w:rsidR="00296EE3">
          <w:rPr>
            <w:noProof/>
            <w:webHidden/>
          </w:rPr>
          <w:instrText xml:space="preserve"> PAGEREF _Toc121322375 \h </w:instrText>
        </w:r>
        <w:r w:rsidR="00296EE3">
          <w:rPr>
            <w:noProof/>
            <w:webHidden/>
          </w:rPr>
        </w:r>
        <w:r w:rsidR="00296EE3">
          <w:rPr>
            <w:noProof/>
            <w:webHidden/>
          </w:rPr>
          <w:fldChar w:fldCharType="separate"/>
        </w:r>
        <w:r w:rsidR="00296EE3">
          <w:rPr>
            <w:noProof/>
            <w:webHidden/>
          </w:rPr>
          <w:t>12</w:t>
        </w:r>
        <w:r w:rsidR="00296EE3">
          <w:rPr>
            <w:noProof/>
            <w:webHidden/>
          </w:rPr>
          <w:fldChar w:fldCharType="end"/>
        </w:r>
      </w:hyperlink>
    </w:p>
    <w:p w14:paraId="5658D62F" w14:textId="3CAEA18B" w:rsidR="00296EE3" w:rsidRDefault="00753E28">
      <w:pPr>
        <w:pStyle w:val="TOC1"/>
        <w:rPr>
          <w:rFonts w:eastAsiaTheme="minorEastAsia" w:cstheme="minorBidi"/>
          <w:b w:val="0"/>
          <w:bCs w:val="0"/>
          <w:caps w:val="0"/>
          <w:noProof/>
          <w:sz w:val="22"/>
          <w:szCs w:val="22"/>
          <w:lang w:val="en-NZ" w:eastAsia="en-NZ" w:bidi="ar-SA"/>
        </w:rPr>
      </w:pPr>
      <w:hyperlink w:anchor="_Toc121322376" w:history="1">
        <w:r w:rsidR="00296EE3" w:rsidRPr="00877915">
          <w:rPr>
            <w:rStyle w:val="Hyperlink"/>
            <w:noProof/>
            <w:lang w:eastAsia="en-AU"/>
          </w:rPr>
          <w:t>5 Conclusion</w:t>
        </w:r>
        <w:r w:rsidR="00296EE3">
          <w:rPr>
            <w:noProof/>
            <w:webHidden/>
          </w:rPr>
          <w:tab/>
        </w:r>
        <w:r w:rsidR="00296EE3">
          <w:rPr>
            <w:noProof/>
            <w:webHidden/>
          </w:rPr>
          <w:fldChar w:fldCharType="begin"/>
        </w:r>
        <w:r w:rsidR="00296EE3">
          <w:rPr>
            <w:noProof/>
            <w:webHidden/>
          </w:rPr>
          <w:instrText xml:space="preserve"> PAGEREF _Toc121322376 \h </w:instrText>
        </w:r>
        <w:r w:rsidR="00296EE3">
          <w:rPr>
            <w:noProof/>
            <w:webHidden/>
          </w:rPr>
        </w:r>
        <w:r w:rsidR="00296EE3">
          <w:rPr>
            <w:noProof/>
            <w:webHidden/>
          </w:rPr>
          <w:fldChar w:fldCharType="separate"/>
        </w:r>
        <w:r w:rsidR="00296EE3">
          <w:rPr>
            <w:noProof/>
            <w:webHidden/>
          </w:rPr>
          <w:t>12</w:t>
        </w:r>
        <w:r w:rsidR="00296EE3">
          <w:rPr>
            <w:noProof/>
            <w:webHidden/>
          </w:rPr>
          <w:fldChar w:fldCharType="end"/>
        </w:r>
      </w:hyperlink>
    </w:p>
    <w:p w14:paraId="291DABE8" w14:textId="273F31FA" w:rsidR="00296EE3" w:rsidRDefault="00753E28">
      <w:pPr>
        <w:pStyle w:val="TOC1"/>
        <w:rPr>
          <w:rFonts w:eastAsiaTheme="minorEastAsia" w:cstheme="minorBidi"/>
          <w:b w:val="0"/>
          <w:bCs w:val="0"/>
          <w:caps w:val="0"/>
          <w:noProof/>
          <w:sz w:val="22"/>
          <w:szCs w:val="22"/>
          <w:lang w:val="en-NZ" w:eastAsia="en-NZ" w:bidi="ar-SA"/>
        </w:rPr>
      </w:pPr>
      <w:hyperlink w:anchor="_Toc121322377" w:history="1">
        <w:r w:rsidR="00296EE3" w:rsidRPr="00877915">
          <w:rPr>
            <w:rStyle w:val="Hyperlink"/>
            <w:noProof/>
            <w:lang w:eastAsia="en-AU"/>
          </w:rPr>
          <w:t>6 References</w:t>
        </w:r>
        <w:r w:rsidR="00296EE3">
          <w:rPr>
            <w:noProof/>
            <w:webHidden/>
          </w:rPr>
          <w:tab/>
        </w:r>
        <w:r w:rsidR="00296EE3">
          <w:rPr>
            <w:noProof/>
            <w:webHidden/>
          </w:rPr>
          <w:fldChar w:fldCharType="begin"/>
        </w:r>
        <w:r w:rsidR="00296EE3">
          <w:rPr>
            <w:noProof/>
            <w:webHidden/>
          </w:rPr>
          <w:instrText xml:space="preserve"> PAGEREF _Toc121322377 \h </w:instrText>
        </w:r>
        <w:r w:rsidR="00296EE3">
          <w:rPr>
            <w:noProof/>
            <w:webHidden/>
          </w:rPr>
        </w:r>
        <w:r w:rsidR="00296EE3">
          <w:rPr>
            <w:noProof/>
            <w:webHidden/>
          </w:rPr>
          <w:fldChar w:fldCharType="separate"/>
        </w:r>
        <w:r w:rsidR="00296EE3">
          <w:rPr>
            <w:noProof/>
            <w:webHidden/>
          </w:rPr>
          <w:t>12</w:t>
        </w:r>
        <w:r w:rsidR="00296EE3">
          <w:rPr>
            <w:noProof/>
            <w:webHidden/>
          </w:rPr>
          <w:fldChar w:fldCharType="end"/>
        </w:r>
      </w:hyperlink>
    </w:p>
    <w:p w14:paraId="5F13C8DE" w14:textId="7258AD28" w:rsidR="00562917" w:rsidRDefault="00326D85" w:rsidP="00051ED9">
      <w:r>
        <w:fldChar w:fldCharType="end"/>
      </w:r>
    </w:p>
    <w:p w14:paraId="150DDD1E" w14:textId="77777777" w:rsidR="00E066BA" w:rsidRDefault="00E066BA" w:rsidP="00051ED9"/>
    <w:p w14:paraId="4FE89406" w14:textId="77777777" w:rsidR="00051ED9" w:rsidRDefault="00562917" w:rsidP="00772BDC">
      <w:r w:rsidRPr="00E203C2">
        <w:br w:type="page"/>
      </w:r>
    </w:p>
    <w:p w14:paraId="28839900" w14:textId="628B8C99" w:rsidR="00D60568" w:rsidRPr="0052722D" w:rsidRDefault="009702EB" w:rsidP="0052722D">
      <w:pPr>
        <w:pStyle w:val="Heading1"/>
      </w:pPr>
      <w:bookmarkStart w:id="7" w:name="_Toc121322348"/>
      <w:r>
        <w:lastRenderedPageBreak/>
        <w:t xml:space="preserve">1 </w:t>
      </w:r>
      <w:r w:rsidR="00DD650A">
        <w:t>Introduction</w:t>
      </w:r>
      <w:bookmarkEnd w:id="7"/>
    </w:p>
    <w:p w14:paraId="25DA7C87" w14:textId="5ABA5F9F" w:rsidR="0052722D" w:rsidRPr="00020DEB" w:rsidRDefault="0052722D" w:rsidP="00052B65">
      <w:pPr>
        <w:spacing w:after="240"/>
        <w:rPr>
          <w:lang w:bidi="ar-SA"/>
        </w:rPr>
      </w:pPr>
      <w:r w:rsidRPr="3B5023EA">
        <w:rPr>
          <w:lang w:val="en-AU" w:bidi="ar-SA"/>
        </w:rPr>
        <w:t>Novozymes Australia Pty Limited (</w:t>
      </w:r>
      <w:r w:rsidRPr="3B5023EA">
        <w:rPr>
          <w:lang w:bidi="ar-SA"/>
        </w:rPr>
        <w:t>Novozymes) applied to Food Standards Australia New Zealand (FSANZ) to permit the use of the enzyme, a</w:t>
      </w:r>
      <w:r w:rsidR="006B36B8" w:rsidRPr="3B5023EA">
        <w:rPr>
          <w:lang w:bidi="ar-SA"/>
        </w:rPr>
        <w:t>n</w:t>
      </w:r>
      <w:r w:rsidRPr="3B5023EA">
        <w:rPr>
          <w:lang w:bidi="ar-SA"/>
        </w:rPr>
        <w:t xml:space="preserve"> endo-1,4-</w:t>
      </w:r>
      <w:r w:rsidRPr="3B5023EA">
        <w:rPr>
          <w:rFonts w:cs="Arial"/>
          <w:lang w:bidi="ar-SA"/>
        </w:rPr>
        <w:t>β</w:t>
      </w:r>
      <w:r w:rsidRPr="3B5023EA">
        <w:rPr>
          <w:lang w:bidi="ar-SA"/>
        </w:rPr>
        <w:t>-xylan</w:t>
      </w:r>
      <w:r w:rsidR="009A7CFC" w:rsidRPr="3B5023EA">
        <w:rPr>
          <w:lang w:bidi="ar-SA"/>
        </w:rPr>
        <w:t>a</w:t>
      </w:r>
      <w:r w:rsidRPr="3B5023EA">
        <w:rPr>
          <w:lang w:bidi="ar-SA"/>
        </w:rPr>
        <w:t>se (EC 3.2.1.8)</w:t>
      </w:r>
      <w:r w:rsidR="34449BFE" w:rsidRPr="3B5023EA">
        <w:rPr>
          <w:lang w:bidi="ar-SA"/>
        </w:rPr>
        <w:t>,</w:t>
      </w:r>
      <w:r w:rsidRPr="3B5023EA">
        <w:rPr>
          <w:lang w:bidi="ar-SA"/>
        </w:rPr>
        <w:t xml:space="preserve"> as a processing aid for use in </w:t>
      </w:r>
      <w:r w:rsidR="006531F7">
        <w:t xml:space="preserve">brewing, fats and oils processing, </w:t>
      </w:r>
      <w:r w:rsidR="00605206">
        <w:t xml:space="preserve">grain processing </w:t>
      </w:r>
      <w:r w:rsidR="006531F7">
        <w:t>and potable alcohol production</w:t>
      </w:r>
      <w:r w:rsidRPr="3B5023EA">
        <w:rPr>
          <w:lang w:bidi="ar-SA"/>
        </w:rPr>
        <w:t xml:space="preserve">. The enzyme </w:t>
      </w:r>
      <w:r w:rsidR="00A07E06" w:rsidRPr="3B5023EA">
        <w:rPr>
          <w:lang w:bidi="ar-SA"/>
        </w:rPr>
        <w:t>will be referred to in this report</w:t>
      </w:r>
      <w:r w:rsidRPr="3B5023EA">
        <w:rPr>
          <w:lang w:bidi="ar-SA"/>
        </w:rPr>
        <w:t xml:space="preserve"> as </w:t>
      </w:r>
      <w:r w:rsidR="009E7AD3" w:rsidRPr="3B5023EA">
        <w:rPr>
          <w:lang w:bidi="ar-SA"/>
        </w:rPr>
        <w:t>endo-1,4</w:t>
      </w:r>
      <w:r w:rsidR="00356171" w:rsidRPr="3B5023EA">
        <w:rPr>
          <w:lang w:bidi="ar-SA"/>
        </w:rPr>
        <w:t>-</w:t>
      </w:r>
      <w:r w:rsidR="009E7AD3" w:rsidRPr="3B5023EA">
        <w:rPr>
          <w:lang w:bidi="ar-SA"/>
        </w:rPr>
        <w:t>beta</w:t>
      </w:r>
      <w:r w:rsidR="006531F7" w:rsidRPr="3B5023EA">
        <w:rPr>
          <w:lang w:bidi="ar-SA"/>
        </w:rPr>
        <w:t>-</w:t>
      </w:r>
      <w:r w:rsidRPr="3B5023EA">
        <w:rPr>
          <w:lang w:bidi="ar-SA"/>
        </w:rPr>
        <w:t xml:space="preserve">xylanase. </w:t>
      </w:r>
    </w:p>
    <w:p w14:paraId="09AC8703" w14:textId="41D3AC4A" w:rsidR="00C0461B" w:rsidRPr="00C0461B" w:rsidRDefault="0052722D" w:rsidP="00C0461B">
      <w:pPr>
        <w:rPr>
          <w:lang w:bidi="ar-SA"/>
        </w:rPr>
      </w:pPr>
      <w:r w:rsidRPr="3B5023EA">
        <w:rPr>
          <w:lang w:bidi="ar-SA"/>
        </w:rPr>
        <w:t xml:space="preserve">This enzyme is sourced from a genetically modified (GM) strain of </w:t>
      </w:r>
      <w:r w:rsidRPr="3B5023EA">
        <w:rPr>
          <w:i/>
          <w:iCs/>
          <w:lang w:bidi="ar-SA"/>
        </w:rPr>
        <w:t xml:space="preserve">Trichoderma </w:t>
      </w:r>
      <w:proofErr w:type="spellStart"/>
      <w:r w:rsidRPr="3B5023EA">
        <w:rPr>
          <w:i/>
          <w:iCs/>
          <w:lang w:bidi="ar-SA"/>
        </w:rPr>
        <w:t>reesei</w:t>
      </w:r>
      <w:proofErr w:type="spellEnd"/>
      <w:r w:rsidR="05525FB2" w:rsidRPr="3B5023EA">
        <w:rPr>
          <w:i/>
          <w:iCs/>
          <w:lang w:bidi="ar-SA"/>
        </w:rPr>
        <w:t xml:space="preserve"> (T. </w:t>
      </w:r>
      <w:proofErr w:type="spellStart"/>
      <w:r w:rsidR="05525FB2" w:rsidRPr="3B5023EA">
        <w:rPr>
          <w:i/>
          <w:iCs/>
          <w:lang w:bidi="ar-SA"/>
        </w:rPr>
        <w:t>reesei</w:t>
      </w:r>
      <w:proofErr w:type="spellEnd"/>
      <w:r w:rsidR="05525FB2" w:rsidRPr="3B5023EA">
        <w:rPr>
          <w:i/>
          <w:iCs/>
          <w:lang w:bidi="ar-SA"/>
        </w:rPr>
        <w:t>)</w:t>
      </w:r>
      <w:r w:rsidRPr="3B5023EA">
        <w:rPr>
          <w:i/>
          <w:iCs/>
          <w:lang w:bidi="ar-SA"/>
        </w:rPr>
        <w:t xml:space="preserve"> </w:t>
      </w:r>
      <w:r w:rsidRPr="3B5023EA">
        <w:rPr>
          <w:lang w:bidi="ar-SA"/>
        </w:rPr>
        <w:t xml:space="preserve">containing the </w:t>
      </w:r>
      <w:r w:rsidR="00EC046C" w:rsidRPr="3B5023EA">
        <w:rPr>
          <w:lang w:bidi="ar-SA"/>
        </w:rPr>
        <w:t xml:space="preserve">endo-1,4-beta-xylanase </w:t>
      </w:r>
      <w:r w:rsidRPr="3B5023EA">
        <w:rPr>
          <w:lang w:bidi="ar-SA"/>
        </w:rPr>
        <w:t xml:space="preserve">gene from </w:t>
      </w:r>
      <w:proofErr w:type="spellStart"/>
      <w:r w:rsidRPr="3B5023EA">
        <w:rPr>
          <w:i/>
          <w:iCs/>
          <w:lang w:bidi="ar-SA"/>
        </w:rPr>
        <w:t>Talaromyces</w:t>
      </w:r>
      <w:proofErr w:type="spellEnd"/>
      <w:r w:rsidRPr="3B5023EA">
        <w:rPr>
          <w:i/>
          <w:iCs/>
          <w:lang w:bidi="ar-SA"/>
        </w:rPr>
        <w:t xml:space="preserve"> </w:t>
      </w:r>
      <w:proofErr w:type="spellStart"/>
      <w:r w:rsidRPr="3B5023EA">
        <w:rPr>
          <w:i/>
          <w:iCs/>
          <w:lang w:bidi="ar-SA"/>
        </w:rPr>
        <w:t>leycettanus</w:t>
      </w:r>
      <w:proofErr w:type="spellEnd"/>
      <w:r w:rsidR="13970E97" w:rsidRPr="3B5023EA">
        <w:rPr>
          <w:i/>
          <w:iCs/>
          <w:lang w:bidi="ar-SA"/>
        </w:rPr>
        <w:t xml:space="preserve"> (T. </w:t>
      </w:r>
      <w:proofErr w:type="spellStart"/>
      <w:r w:rsidR="13970E97" w:rsidRPr="3B5023EA">
        <w:rPr>
          <w:i/>
          <w:iCs/>
          <w:lang w:bidi="ar-SA"/>
        </w:rPr>
        <w:t>leycettanus</w:t>
      </w:r>
      <w:proofErr w:type="spellEnd"/>
      <w:r w:rsidR="13970E97" w:rsidRPr="3B5023EA">
        <w:rPr>
          <w:i/>
          <w:iCs/>
          <w:lang w:bidi="ar-SA"/>
        </w:rPr>
        <w:t>)</w:t>
      </w:r>
      <w:r w:rsidRPr="3B5023EA">
        <w:rPr>
          <w:i/>
          <w:iCs/>
          <w:lang w:bidi="ar-SA"/>
        </w:rPr>
        <w:t xml:space="preserve">. </w:t>
      </w:r>
      <w:r w:rsidRPr="3B5023EA">
        <w:rPr>
          <w:lang w:bidi="ar-SA"/>
        </w:rPr>
        <w:t xml:space="preserve">The host organism was developed from </w:t>
      </w:r>
      <w:r w:rsidRPr="3B5023EA">
        <w:rPr>
          <w:i/>
          <w:iCs/>
          <w:lang w:bidi="ar-SA"/>
        </w:rPr>
        <w:t>T</w:t>
      </w:r>
      <w:r w:rsidR="00EC1B30" w:rsidRPr="3B5023EA">
        <w:rPr>
          <w:i/>
          <w:iCs/>
          <w:lang w:bidi="ar-SA"/>
        </w:rPr>
        <w:t>.</w:t>
      </w:r>
      <w:r w:rsidRPr="3B5023EA">
        <w:rPr>
          <w:i/>
          <w:iCs/>
          <w:lang w:bidi="ar-SA"/>
        </w:rPr>
        <w:t xml:space="preserve"> </w:t>
      </w:r>
      <w:proofErr w:type="spellStart"/>
      <w:r w:rsidRPr="3B5023EA">
        <w:rPr>
          <w:i/>
          <w:iCs/>
          <w:lang w:bidi="ar-SA"/>
        </w:rPr>
        <w:t>reesei</w:t>
      </w:r>
      <w:proofErr w:type="spellEnd"/>
      <w:r w:rsidRPr="3B5023EA">
        <w:rPr>
          <w:i/>
          <w:iCs/>
          <w:lang w:bidi="ar-SA"/>
        </w:rPr>
        <w:t xml:space="preserve"> </w:t>
      </w:r>
      <w:r w:rsidRPr="3B5023EA">
        <w:rPr>
          <w:lang w:bidi="ar-SA"/>
        </w:rPr>
        <w:t>RUT-C30 and derived from the original isolate</w:t>
      </w:r>
      <w:r w:rsidRPr="3B5023EA">
        <w:rPr>
          <w:i/>
          <w:iCs/>
          <w:lang w:bidi="ar-SA"/>
        </w:rPr>
        <w:t xml:space="preserve"> </w:t>
      </w:r>
      <w:r w:rsidRPr="3B5023EA">
        <w:rPr>
          <w:lang w:bidi="ar-SA"/>
        </w:rPr>
        <w:t xml:space="preserve">from QM6A (ATCC 13631, </w:t>
      </w:r>
      <w:proofErr w:type="spellStart"/>
      <w:r w:rsidRPr="3B5023EA">
        <w:rPr>
          <w:lang w:bidi="ar-SA"/>
        </w:rPr>
        <w:t>Seidl</w:t>
      </w:r>
      <w:proofErr w:type="spellEnd"/>
      <w:r w:rsidRPr="3B5023EA">
        <w:rPr>
          <w:lang w:bidi="ar-SA"/>
        </w:rPr>
        <w:t xml:space="preserve"> et al</w:t>
      </w:r>
      <w:r w:rsidR="00576153" w:rsidRPr="3B5023EA">
        <w:rPr>
          <w:lang w:bidi="ar-SA"/>
        </w:rPr>
        <w:t>.</w:t>
      </w:r>
      <w:r w:rsidRPr="3B5023EA">
        <w:rPr>
          <w:lang w:bidi="ar-SA"/>
        </w:rPr>
        <w:t xml:space="preserve"> 2008).</w:t>
      </w:r>
    </w:p>
    <w:p w14:paraId="4B8D816C" w14:textId="78B78FFC" w:rsidR="00DD650A" w:rsidRDefault="00E479BD" w:rsidP="00642A92">
      <w:pPr>
        <w:pStyle w:val="Heading2"/>
        <w:numPr>
          <w:ilvl w:val="1"/>
          <w:numId w:val="4"/>
        </w:numPr>
      </w:pPr>
      <w:bookmarkStart w:id="8" w:name="_Toc121322349"/>
      <w:r>
        <w:t>Objectives of the assessment</w:t>
      </w:r>
      <w:bookmarkEnd w:id="8"/>
    </w:p>
    <w:p w14:paraId="5944B728" w14:textId="600A08F1" w:rsidR="00A90256" w:rsidRPr="00A90256" w:rsidRDefault="00A90256" w:rsidP="00331FD2">
      <w:pPr>
        <w:spacing w:after="240"/>
        <w:rPr>
          <w:lang w:bidi="ar-SA"/>
        </w:rPr>
      </w:pPr>
      <w:r w:rsidRPr="00A90256">
        <w:t xml:space="preserve">Schedule 18 of the Australia New Zealand Food Standards Code (the Code) contains permission for enzymes of microbial origin including </w:t>
      </w:r>
      <w:r w:rsidR="00691761">
        <w:rPr>
          <w:lang w:bidi="ar-SA"/>
        </w:rPr>
        <w:t>endo-1,4-</w:t>
      </w:r>
      <w:r w:rsidR="00691761">
        <w:rPr>
          <w:rFonts w:cs="Arial"/>
          <w:lang w:bidi="ar-SA"/>
        </w:rPr>
        <w:t>β</w:t>
      </w:r>
      <w:r w:rsidR="00691761">
        <w:rPr>
          <w:lang w:bidi="ar-SA"/>
        </w:rPr>
        <w:t>-</w:t>
      </w:r>
      <w:r w:rsidR="006E1327">
        <w:rPr>
          <w:lang w:bidi="ar-SA"/>
        </w:rPr>
        <w:t>xylanase</w:t>
      </w:r>
      <w:r w:rsidR="00691761" w:rsidRPr="00020DEB">
        <w:rPr>
          <w:lang w:bidi="ar-SA"/>
        </w:rPr>
        <w:t xml:space="preserve"> (EC 3.2.1.</w:t>
      </w:r>
      <w:r w:rsidR="00691761">
        <w:rPr>
          <w:lang w:bidi="ar-SA"/>
        </w:rPr>
        <w:t>8</w:t>
      </w:r>
      <w:r w:rsidR="00691761" w:rsidRPr="00020DEB">
        <w:rPr>
          <w:lang w:bidi="ar-SA"/>
        </w:rPr>
        <w:t>)</w:t>
      </w:r>
      <w:r w:rsidR="00691761">
        <w:rPr>
          <w:lang w:bidi="ar-SA"/>
        </w:rPr>
        <w:t xml:space="preserve"> from </w:t>
      </w:r>
      <w:r w:rsidR="00FB5A19" w:rsidRPr="2F66B5B4">
        <w:rPr>
          <w:i/>
          <w:iCs/>
        </w:rPr>
        <w:t>T</w:t>
      </w:r>
      <w:r w:rsidR="00EC1B30" w:rsidRPr="2F66B5B4">
        <w:rPr>
          <w:i/>
          <w:iCs/>
        </w:rPr>
        <w:t>.</w:t>
      </w:r>
      <w:r w:rsidR="00FB5A19" w:rsidRPr="2F66B5B4">
        <w:rPr>
          <w:i/>
          <w:iCs/>
        </w:rPr>
        <w:t xml:space="preserve"> </w:t>
      </w:r>
      <w:proofErr w:type="spellStart"/>
      <w:r w:rsidR="00FB5A19" w:rsidRPr="2F66B5B4">
        <w:rPr>
          <w:i/>
          <w:iCs/>
        </w:rPr>
        <w:t>reesei</w:t>
      </w:r>
      <w:proofErr w:type="spellEnd"/>
      <w:r w:rsidRPr="00A90256">
        <w:rPr>
          <w:rFonts w:cs="Arial"/>
          <w:shd w:val="clear" w:color="auto" w:fill="FFFFFF"/>
        </w:rPr>
        <w:t xml:space="preserve">. </w:t>
      </w:r>
      <w:r w:rsidR="3593F5A1" w:rsidRPr="00A90256">
        <w:rPr>
          <w:rFonts w:cs="Arial"/>
          <w:shd w:val="clear" w:color="auto" w:fill="FFFFFF"/>
        </w:rPr>
        <w:t xml:space="preserve">Currently, </w:t>
      </w:r>
      <w:r w:rsidR="34C5D931" w:rsidRPr="00A90256">
        <w:t>t</w:t>
      </w:r>
      <w:r w:rsidRPr="00A90256">
        <w:t xml:space="preserve">here is no permission </w:t>
      </w:r>
      <w:r w:rsidR="00C27302">
        <w:t>in section S18-</w:t>
      </w:r>
      <w:r w:rsidR="007F1C7E">
        <w:t>9</w:t>
      </w:r>
      <w:r w:rsidR="00F160E7">
        <w:t xml:space="preserve"> for</w:t>
      </w:r>
      <w:r w:rsidRPr="00A90256">
        <w:t xml:space="preserve"> </w:t>
      </w:r>
      <w:r w:rsidR="00EC046C">
        <w:t xml:space="preserve">endo-1,4-beta-xylanase </w:t>
      </w:r>
      <w:r w:rsidRPr="00A90256">
        <w:t xml:space="preserve">produced by a GM strain of </w:t>
      </w:r>
      <w:r w:rsidRPr="2F66B5B4">
        <w:rPr>
          <w:i/>
          <w:iCs/>
        </w:rPr>
        <w:t>T</w:t>
      </w:r>
      <w:r w:rsidR="00F30EB3" w:rsidRPr="2F66B5B4">
        <w:rPr>
          <w:i/>
          <w:iCs/>
        </w:rPr>
        <w:t>.</w:t>
      </w:r>
      <w:r w:rsidRPr="2F66B5B4">
        <w:rPr>
          <w:i/>
          <w:iCs/>
        </w:rPr>
        <w:t xml:space="preserve"> </w:t>
      </w:r>
      <w:proofErr w:type="spellStart"/>
      <w:r w:rsidRPr="2F66B5B4">
        <w:rPr>
          <w:i/>
          <w:iCs/>
        </w:rPr>
        <w:t>reesei</w:t>
      </w:r>
      <w:proofErr w:type="spellEnd"/>
      <w:r w:rsidRPr="2F66B5B4">
        <w:rPr>
          <w:i/>
          <w:iCs/>
        </w:rPr>
        <w:t xml:space="preserve"> </w:t>
      </w:r>
      <w:r w:rsidRPr="00A90256">
        <w:t xml:space="preserve">containing the gene for </w:t>
      </w:r>
      <w:r w:rsidR="00EC046C">
        <w:t xml:space="preserve">endo-1,4-beta-xylanase </w:t>
      </w:r>
      <w:r w:rsidRPr="00A90256">
        <w:t xml:space="preserve">from </w:t>
      </w:r>
      <w:r w:rsidRPr="2F66B5B4">
        <w:rPr>
          <w:i/>
          <w:iCs/>
        </w:rPr>
        <w:t>T</w:t>
      </w:r>
      <w:r w:rsidR="00F30EB3" w:rsidRPr="2F66B5B4">
        <w:rPr>
          <w:i/>
          <w:iCs/>
        </w:rPr>
        <w:t>.</w:t>
      </w:r>
      <w:r w:rsidR="002D1B36" w:rsidRPr="2F66B5B4">
        <w:rPr>
          <w:i/>
          <w:iCs/>
        </w:rPr>
        <w:t xml:space="preserve"> </w:t>
      </w:r>
      <w:proofErr w:type="spellStart"/>
      <w:r w:rsidR="002D1B36" w:rsidRPr="2F66B5B4">
        <w:rPr>
          <w:i/>
          <w:iCs/>
          <w:lang w:bidi="ar-SA"/>
        </w:rPr>
        <w:t>leycettanus</w:t>
      </w:r>
      <w:proofErr w:type="spellEnd"/>
      <w:r w:rsidRPr="2F66B5B4">
        <w:rPr>
          <w:i/>
          <w:iCs/>
        </w:rPr>
        <w:t xml:space="preserve">. </w:t>
      </w:r>
      <w:r w:rsidRPr="00A90256">
        <w:t>Assessment is required before permission can be considered for its use as a processing aid.</w:t>
      </w:r>
    </w:p>
    <w:p w14:paraId="17FE1617" w14:textId="13CEDD36" w:rsidR="00A90256" w:rsidRPr="00A90256" w:rsidRDefault="00A90256" w:rsidP="00331FD2">
      <w:pPr>
        <w:spacing w:after="240"/>
        <w:rPr>
          <w:lang w:bidi="ar-SA"/>
        </w:rPr>
      </w:pPr>
      <w:r w:rsidRPr="00A90256">
        <w:rPr>
          <w:lang w:bidi="ar-SA"/>
        </w:rPr>
        <w:t>The objectives of this risk and technical assessment were to:</w:t>
      </w:r>
    </w:p>
    <w:p w14:paraId="09A2403C" w14:textId="635061DD" w:rsidR="00A90256" w:rsidRPr="00A90256" w:rsidRDefault="00A90256" w:rsidP="00A90256">
      <w:pPr>
        <w:widowControl/>
        <w:numPr>
          <w:ilvl w:val="0"/>
          <w:numId w:val="1"/>
        </w:numPr>
        <w:ind w:left="567" w:hanging="567"/>
        <w:rPr>
          <w:rFonts w:cs="Arial"/>
          <w:lang w:bidi="ar-SA"/>
        </w:rPr>
      </w:pPr>
      <w:r w:rsidRPr="00A90256">
        <w:rPr>
          <w:rFonts w:cs="Arial"/>
          <w:lang w:bidi="ar-SA"/>
        </w:rPr>
        <w:t xml:space="preserve">determine whether the </w:t>
      </w:r>
      <w:r w:rsidR="00790249">
        <w:rPr>
          <w:rFonts w:cs="Arial"/>
          <w:lang w:bidi="ar-SA"/>
        </w:rPr>
        <w:t xml:space="preserve">enzyme provides the </w:t>
      </w:r>
      <w:r w:rsidRPr="00A90256">
        <w:rPr>
          <w:rFonts w:cs="Arial"/>
          <w:lang w:bidi="ar-SA"/>
        </w:rPr>
        <w:t>proposed technological purpose as a processing aid in the quantity and form proposed to be used</w:t>
      </w:r>
    </w:p>
    <w:p w14:paraId="3086E30A" w14:textId="77777777" w:rsidR="00A90256" w:rsidRPr="00A90256" w:rsidRDefault="00A90256" w:rsidP="00A90256">
      <w:pPr>
        <w:widowControl/>
        <w:numPr>
          <w:ilvl w:val="0"/>
          <w:numId w:val="1"/>
        </w:numPr>
        <w:ind w:left="567" w:hanging="567"/>
        <w:rPr>
          <w:rFonts w:cs="Arial"/>
          <w:lang w:bidi="ar-SA"/>
        </w:rPr>
      </w:pPr>
      <w:r w:rsidRPr="00A90256">
        <w:rPr>
          <w:rFonts w:cs="Arial"/>
          <w:lang w:bidi="ar-SA"/>
        </w:rPr>
        <w:t>evaluate potential public health and safety concerns that may arise from the use of this enzyme as a processing aid, specifically by considering the</w:t>
      </w:r>
    </w:p>
    <w:p w14:paraId="41C0B4AC" w14:textId="77777777" w:rsidR="00A90256" w:rsidRPr="00A90256" w:rsidRDefault="00A90256" w:rsidP="00A90256">
      <w:pPr>
        <w:widowControl/>
        <w:numPr>
          <w:ilvl w:val="0"/>
          <w:numId w:val="2"/>
        </w:numPr>
        <w:ind w:left="1134" w:hanging="567"/>
        <w:rPr>
          <w:rFonts w:eastAsia="Calibri"/>
          <w:szCs w:val="22"/>
          <w:lang w:bidi="ar-SA"/>
        </w:rPr>
      </w:pPr>
      <w:r w:rsidRPr="00A90256">
        <w:rPr>
          <w:rFonts w:eastAsia="Calibri"/>
          <w:szCs w:val="22"/>
          <w:lang w:bidi="ar-SA"/>
        </w:rPr>
        <w:t>history of use of the gene donor and production microorganisms</w:t>
      </w:r>
    </w:p>
    <w:p w14:paraId="18E0139D" w14:textId="77777777" w:rsidR="00A90256" w:rsidRPr="00A90256" w:rsidRDefault="00A90256" w:rsidP="00A90256">
      <w:pPr>
        <w:widowControl/>
        <w:numPr>
          <w:ilvl w:val="0"/>
          <w:numId w:val="2"/>
        </w:numPr>
        <w:ind w:left="1134" w:hanging="567"/>
        <w:rPr>
          <w:rFonts w:eastAsia="Calibri"/>
          <w:szCs w:val="22"/>
          <w:lang w:bidi="ar-SA"/>
        </w:rPr>
      </w:pPr>
      <w:r w:rsidRPr="00A90256">
        <w:rPr>
          <w:rFonts w:eastAsia="Calibri"/>
          <w:szCs w:val="22"/>
          <w:lang w:bidi="ar-SA"/>
        </w:rPr>
        <w:t>characterisation of the genetic modification(s)</w:t>
      </w:r>
    </w:p>
    <w:p w14:paraId="4F472DDE" w14:textId="41E8FDB0" w:rsidR="009702EB" w:rsidRPr="009702EB" w:rsidRDefault="00A90256" w:rsidP="009702EB">
      <w:pPr>
        <w:widowControl/>
        <w:numPr>
          <w:ilvl w:val="0"/>
          <w:numId w:val="2"/>
        </w:numPr>
        <w:ind w:left="1134" w:hanging="567"/>
        <w:rPr>
          <w:lang w:bidi="ar-SA"/>
        </w:rPr>
      </w:pPr>
      <w:r w:rsidRPr="00A90256">
        <w:rPr>
          <w:rFonts w:eastAsia="Calibri"/>
          <w:szCs w:val="22"/>
          <w:lang w:bidi="ar-SA"/>
        </w:rPr>
        <w:t>safety of the enzyme.</w:t>
      </w:r>
    </w:p>
    <w:p w14:paraId="36728A46" w14:textId="6D3F7A24" w:rsidR="00E479BD" w:rsidRDefault="007B70FB" w:rsidP="00E479BD">
      <w:pPr>
        <w:pStyle w:val="Heading1"/>
      </w:pPr>
      <w:bookmarkStart w:id="9" w:name="_Toc121322350"/>
      <w:r>
        <w:t xml:space="preserve">2 </w:t>
      </w:r>
      <w:r w:rsidR="00E479BD">
        <w:t>Food technology assessment</w:t>
      </w:r>
      <w:bookmarkEnd w:id="9"/>
    </w:p>
    <w:p w14:paraId="69B28BFE" w14:textId="71A01E33" w:rsidR="00E479BD" w:rsidRDefault="00E479BD" w:rsidP="00642A92">
      <w:pPr>
        <w:pStyle w:val="Heading2"/>
      </w:pPr>
      <w:bookmarkStart w:id="10" w:name="_Toc121322351"/>
      <w:r>
        <w:t>2.1 Characterisation of the enzyme</w:t>
      </w:r>
      <w:bookmarkEnd w:id="10"/>
    </w:p>
    <w:p w14:paraId="6511C398" w14:textId="68361796" w:rsidR="00A44DB8" w:rsidRPr="00A44DB8" w:rsidRDefault="000B698E" w:rsidP="00A44DB8">
      <w:pPr>
        <w:rPr>
          <w:lang w:bidi="ar-SA"/>
        </w:rPr>
      </w:pPr>
      <w:r w:rsidRPr="000B698E">
        <w:rPr>
          <w:lang w:bidi="ar-SA"/>
        </w:rPr>
        <w:t xml:space="preserve">The production microorganism of the </w:t>
      </w:r>
      <w:r w:rsidR="00E469DF">
        <w:rPr>
          <w:lang w:bidi="ar-SA"/>
        </w:rPr>
        <w:t>endo-1,4-</w:t>
      </w:r>
      <w:r w:rsidR="00E469DF">
        <w:rPr>
          <w:rFonts w:cs="Arial"/>
          <w:lang w:bidi="ar-SA"/>
        </w:rPr>
        <w:t>β</w:t>
      </w:r>
      <w:r w:rsidR="00E469DF">
        <w:rPr>
          <w:lang w:bidi="ar-SA"/>
        </w:rPr>
        <w:t>-xylanase</w:t>
      </w:r>
      <w:r w:rsidR="00E469DF" w:rsidRPr="000B698E">
        <w:rPr>
          <w:lang w:bidi="ar-SA"/>
        </w:rPr>
        <w:t xml:space="preserve"> enzyme</w:t>
      </w:r>
      <w:r w:rsidR="00E469DF" w:rsidDel="00E469DF">
        <w:rPr>
          <w:lang w:bidi="ar-SA"/>
        </w:rPr>
        <w:t xml:space="preserve"> </w:t>
      </w:r>
      <w:r w:rsidRPr="000B698E">
        <w:rPr>
          <w:lang w:bidi="ar-SA"/>
        </w:rPr>
        <w:t xml:space="preserve">is a GM strain of </w:t>
      </w:r>
      <w:r w:rsidRPr="000B698E">
        <w:rPr>
          <w:i/>
          <w:iCs/>
          <w:lang w:bidi="ar-SA"/>
        </w:rPr>
        <w:t>T.</w:t>
      </w:r>
      <w:r w:rsidR="00270CD9">
        <w:rPr>
          <w:i/>
          <w:iCs/>
          <w:lang w:bidi="ar-SA"/>
        </w:rPr>
        <w:t xml:space="preserve"> </w:t>
      </w:r>
      <w:proofErr w:type="spellStart"/>
      <w:r w:rsidRPr="000B698E">
        <w:rPr>
          <w:i/>
          <w:iCs/>
          <w:lang w:bidi="ar-SA"/>
        </w:rPr>
        <w:t>reesei</w:t>
      </w:r>
      <w:proofErr w:type="spellEnd"/>
      <w:r w:rsidRPr="000B698E">
        <w:rPr>
          <w:i/>
          <w:iCs/>
          <w:lang w:bidi="ar-SA"/>
        </w:rPr>
        <w:t xml:space="preserve">. </w:t>
      </w:r>
      <w:r w:rsidRPr="000B698E">
        <w:rPr>
          <w:lang w:bidi="ar-SA"/>
        </w:rPr>
        <w:t xml:space="preserve">The applicant provided information regarding the identity of the </w:t>
      </w:r>
      <w:r w:rsidR="006E1327">
        <w:rPr>
          <w:lang w:bidi="ar-SA"/>
        </w:rPr>
        <w:t>endo-1,4-</w:t>
      </w:r>
      <w:r w:rsidR="006E1327">
        <w:rPr>
          <w:rFonts w:cs="Arial"/>
          <w:lang w:bidi="ar-SA"/>
        </w:rPr>
        <w:t>β</w:t>
      </w:r>
      <w:r w:rsidR="006E1327">
        <w:rPr>
          <w:lang w:bidi="ar-SA"/>
        </w:rPr>
        <w:t>-xylanase</w:t>
      </w:r>
      <w:r w:rsidRPr="000B698E">
        <w:rPr>
          <w:lang w:bidi="ar-SA"/>
        </w:rPr>
        <w:t xml:space="preserve"> enzyme. FSANZ verified this by using the IUBMB</w:t>
      </w:r>
      <w:r w:rsidRPr="000B698E">
        <w:rPr>
          <w:vertAlign w:val="superscript"/>
          <w:lang w:bidi="ar-SA"/>
        </w:rPr>
        <w:footnoteReference w:id="2"/>
      </w:r>
      <w:r w:rsidRPr="000B698E">
        <w:rPr>
          <w:lang w:bidi="ar-SA"/>
        </w:rPr>
        <w:t xml:space="preserve"> enzyme nomenclature database (McDonald et al</w:t>
      </w:r>
      <w:r w:rsidR="000335D7">
        <w:rPr>
          <w:lang w:bidi="ar-SA"/>
        </w:rPr>
        <w:t>.</w:t>
      </w:r>
      <w:r w:rsidRPr="000B698E">
        <w:rPr>
          <w:lang w:bidi="ar-SA"/>
        </w:rPr>
        <w:t xml:space="preserve"> 2009). Details of the identity of the enzyme are provided in Table 1.</w:t>
      </w:r>
    </w:p>
    <w:p w14:paraId="06F98D5C" w14:textId="77777777" w:rsidR="008172B8" w:rsidRDefault="008172B8">
      <w:pPr>
        <w:widowControl/>
        <w:rPr>
          <w:b/>
          <w:bCs/>
          <w:color w:val="000000" w:themeColor="text1"/>
          <w:lang w:eastAsia="en-AU" w:bidi="ar-SA"/>
        </w:rPr>
      </w:pPr>
      <w:r>
        <w:br w:type="page"/>
      </w:r>
    </w:p>
    <w:p w14:paraId="21F7E37B" w14:textId="591EA054" w:rsidR="00070815" w:rsidRDefault="00282AA3" w:rsidP="00AE6A3A">
      <w:pPr>
        <w:pStyle w:val="Heading3"/>
      </w:pPr>
      <w:bookmarkStart w:id="11" w:name="_Toc121322352"/>
      <w:r>
        <w:lastRenderedPageBreak/>
        <w:t>2.1.1 Identity of the enzyme</w:t>
      </w:r>
      <w:bookmarkEnd w:id="11"/>
    </w:p>
    <w:p w14:paraId="32D35285" w14:textId="26CA35D4" w:rsidR="00E008A5" w:rsidRDefault="0092277F" w:rsidP="007D5EA2">
      <w:pPr>
        <w:pStyle w:val="FSFigureTitle"/>
        <w:rPr>
          <w:lang w:eastAsia="en-AU" w:bidi="ar-SA"/>
        </w:rPr>
      </w:pPr>
      <w:r>
        <w:rPr>
          <w:lang w:eastAsia="en-AU" w:bidi="ar-SA"/>
        </w:rPr>
        <w:t>Table 1</w:t>
      </w:r>
      <w:r w:rsidR="007D5EA2">
        <w:rPr>
          <w:lang w:eastAsia="en-AU" w:bidi="ar-SA"/>
        </w:rPr>
        <w:t xml:space="preserve"> Identity</w:t>
      </w:r>
    </w:p>
    <w:tbl>
      <w:tblPr>
        <w:tblStyle w:val="TableGrid31"/>
        <w:tblW w:w="0" w:type="auto"/>
        <w:tblLook w:val="04A0" w:firstRow="1" w:lastRow="0" w:firstColumn="1" w:lastColumn="0" w:noHBand="0" w:noVBand="1"/>
        <w:tblCaption w:val="Table 1"/>
        <w:tblDescription w:val="Identity and relevant details of the enzyme endo-1,4 beta xylanase."/>
      </w:tblPr>
      <w:tblGrid>
        <w:gridCol w:w="2689"/>
        <w:gridCol w:w="6371"/>
      </w:tblGrid>
      <w:tr w:rsidR="000E7DE4" w:rsidRPr="000E7DE4" w14:paraId="06EAF664" w14:textId="77777777" w:rsidTr="007F61A4">
        <w:tc>
          <w:tcPr>
            <w:tcW w:w="2689" w:type="dxa"/>
          </w:tcPr>
          <w:p w14:paraId="16E261BD" w14:textId="77777777" w:rsidR="000E7DE4" w:rsidRPr="000E7DE4" w:rsidRDefault="000E7DE4" w:rsidP="000E7DE4">
            <w:pPr>
              <w:widowControl/>
              <w:spacing w:before="120" w:after="120"/>
              <w:rPr>
                <w:b/>
                <w:i/>
              </w:rPr>
            </w:pPr>
            <w:r w:rsidRPr="000E7DE4">
              <w:rPr>
                <w:b/>
                <w:i/>
              </w:rPr>
              <w:t>Generic common name:</w:t>
            </w:r>
          </w:p>
        </w:tc>
        <w:tc>
          <w:tcPr>
            <w:tcW w:w="6371" w:type="dxa"/>
          </w:tcPr>
          <w:p w14:paraId="05CC3A73" w14:textId="2F6CC55A" w:rsidR="000E7DE4" w:rsidRPr="000E7DE4" w:rsidRDefault="004C6FCA" w:rsidP="000E7DE4">
            <w:pPr>
              <w:widowControl/>
              <w:spacing w:before="120" w:after="120"/>
            </w:pPr>
            <w:r>
              <w:t>Xylanase</w:t>
            </w:r>
          </w:p>
        </w:tc>
      </w:tr>
      <w:tr w:rsidR="000E7DE4" w:rsidRPr="000E7DE4" w14:paraId="48189C78" w14:textId="77777777" w:rsidTr="007F61A4">
        <w:tc>
          <w:tcPr>
            <w:tcW w:w="2689" w:type="dxa"/>
          </w:tcPr>
          <w:p w14:paraId="7EFB1F09" w14:textId="77777777" w:rsidR="000E7DE4" w:rsidRPr="000E7DE4" w:rsidRDefault="000E7DE4" w:rsidP="000E7DE4">
            <w:pPr>
              <w:widowControl/>
              <w:spacing w:before="120" w:after="120"/>
              <w:rPr>
                <w:b/>
                <w:i/>
              </w:rPr>
            </w:pPr>
            <w:r w:rsidRPr="000E7DE4">
              <w:rPr>
                <w:b/>
                <w:i/>
              </w:rPr>
              <w:t>Accepted IUBMB name:</w:t>
            </w:r>
          </w:p>
        </w:tc>
        <w:tc>
          <w:tcPr>
            <w:tcW w:w="6371" w:type="dxa"/>
          </w:tcPr>
          <w:p w14:paraId="02E28BC4" w14:textId="1D0DC20F" w:rsidR="000E7DE4" w:rsidRPr="000E7DE4" w:rsidRDefault="004C6FCA" w:rsidP="000E7DE4">
            <w:pPr>
              <w:widowControl/>
              <w:spacing w:before="120" w:after="120"/>
            </w:pPr>
            <w:r>
              <w:t>Endo-1,4</w:t>
            </w:r>
            <w:r w:rsidR="00CB134F">
              <w:t>-</w:t>
            </w:r>
            <w:r>
              <w:t>β</w:t>
            </w:r>
            <w:r w:rsidR="000E7DE4" w:rsidRPr="000E7DE4">
              <w:t>-</w:t>
            </w:r>
            <w:r>
              <w:t>xylanase</w:t>
            </w:r>
            <w:r w:rsidR="000E7DE4" w:rsidRPr="000E7DE4">
              <w:t xml:space="preserve"> </w:t>
            </w:r>
          </w:p>
        </w:tc>
      </w:tr>
      <w:tr w:rsidR="000E7DE4" w:rsidRPr="000E7DE4" w14:paraId="0941997F" w14:textId="77777777" w:rsidTr="007F61A4">
        <w:tc>
          <w:tcPr>
            <w:tcW w:w="2689" w:type="dxa"/>
          </w:tcPr>
          <w:p w14:paraId="73377F42" w14:textId="77777777" w:rsidR="000E7DE4" w:rsidRPr="000E7DE4" w:rsidRDefault="000E7DE4" w:rsidP="000E7DE4">
            <w:pPr>
              <w:widowControl/>
              <w:spacing w:before="120" w:after="120"/>
              <w:rPr>
                <w:b/>
                <w:i/>
              </w:rPr>
            </w:pPr>
            <w:r w:rsidRPr="000E7DE4">
              <w:rPr>
                <w:b/>
                <w:i/>
              </w:rPr>
              <w:t>Systematic name:</w:t>
            </w:r>
          </w:p>
        </w:tc>
        <w:tc>
          <w:tcPr>
            <w:tcW w:w="6371" w:type="dxa"/>
          </w:tcPr>
          <w:p w14:paraId="331A0BC0" w14:textId="09346549" w:rsidR="000E7DE4" w:rsidRPr="000E7DE4" w:rsidRDefault="00DF7671" w:rsidP="000E7DE4">
            <w:pPr>
              <w:widowControl/>
              <w:spacing w:before="120" w:after="120"/>
            </w:pPr>
            <w:r w:rsidRPr="00DF7671">
              <w:rPr>
                <w:lang w:val="en-GB"/>
              </w:rPr>
              <w:t>4-β-D-</w:t>
            </w:r>
            <w:proofErr w:type="spellStart"/>
            <w:r w:rsidRPr="00DF7671">
              <w:rPr>
                <w:lang w:val="en-GB"/>
              </w:rPr>
              <w:t>xylan</w:t>
            </w:r>
            <w:proofErr w:type="spellEnd"/>
            <w:r w:rsidRPr="00DF7671">
              <w:rPr>
                <w:lang w:val="en-GB"/>
              </w:rPr>
              <w:t xml:space="preserve"> </w:t>
            </w:r>
            <w:proofErr w:type="spellStart"/>
            <w:r w:rsidRPr="00DF7671">
              <w:rPr>
                <w:lang w:val="en-GB"/>
              </w:rPr>
              <w:t>xylanohydrolase</w:t>
            </w:r>
            <w:proofErr w:type="spellEnd"/>
          </w:p>
        </w:tc>
      </w:tr>
      <w:tr w:rsidR="000E7DE4" w:rsidRPr="000E7DE4" w14:paraId="328AFEC3" w14:textId="77777777" w:rsidTr="007F61A4">
        <w:tc>
          <w:tcPr>
            <w:tcW w:w="2689" w:type="dxa"/>
          </w:tcPr>
          <w:p w14:paraId="34AA6153" w14:textId="77777777" w:rsidR="000E7DE4" w:rsidRPr="000E7DE4" w:rsidRDefault="000E7DE4" w:rsidP="000E7DE4">
            <w:pPr>
              <w:widowControl/>
              <w:spacing w:before="120" w:after="120"/>
              <w:rPr>
                <w:b/>
                <w:i/>
              </w:rPr>
            </w:pPr>
            <w:r w:rsidRPr="000E7DE4">
              <w:rPr>
                <w:b/>
                <w:i/>
              </w:rPr>
              <w:t>Other names:</w:t>
            </w:r>
          </w:p>
        </w:tc>
        <w:tc>
          <w:tcPr>
            <w:tcW w:w="6371" w:type="dxa"/>
          </w:tcPr>
          <w:p w14:paraId="07646BDF" w14:textId="30348282" w:rsidR="000E7DE4" w:rsidRPr="000E7DE4" w:rsidRDefault="00111700" w:rsidP="000E7DE4">
            <w:pPr>
              <w:widowControl/>
              <w:spacing w:before="120" w:after="120"/>
            </w:pPr>
            <w:r w:rsidRPr="00111700">
              <w:rPr>
                <w:lang w:val="en-GB"/>
              </w:rPr>
              <w:t>endo-(1→4)-β-</w:t>
            </w:r>
            <w:proofErr w:type="spellStart"/>
            <w:r w:rsidRPr="00111700">
              <w:rPr>
                <w:lang w:val="en-GB"/>
              </w:rPr>
              <w:t>xylan</w:t>
            </w:r>
            <w:proofErr w:type="spellEnd"/>
            <w:r w:rsidRPr="00111700">
              <w:rPr>
                <w:lang w:val="en-GB"/>
              </w:rPr>
              <w:t xml:space="preserve"> 4-xylanohydrolase; endo-1,4-xylanase; xylanase; β-1,4-xylanase; endo-1,4-xylanase; endo-β-1,4-xylanase; endo-1,4-β-D-xylanase; 1,4-β-</w:t>
            </w:r>
            <w:proofErr w:type="spellStart"/>
            <w:r w:rsidRPr="00111700">
              <w:rPr>
                <w:lang w:val="en-GB"/>
              </w:rPr>
              <w:t>xylan</w:t>
            </w:r>
            <w:proofErr w:type="spellEnd"/>
            <w:r w:rsidRPr="00111700">
              <w:rPr>
                <w:lang w:val="en-GB"/>
              </w:rPr>
              <w:t xml:space="preserve"> </w:t>
            </w:r>
            <w:proofErr w:type="spellStart"/>
            <w:r w:rsidRPr="00111700">
              <w:rPr>
                <w:lang w:val="en-GB"/>
              </w:rPr>
              <w:t>xylanohydrolase</w:t>
            </w:r>
            <w:proofErr w:type="spellEnd"/>
            <w:r w:rsidRPr="00111700">
              <w:rPr>
                <w:lang w:val="en-GB"/>
              </w:rPr>
              <w:t xml:space="preserve">; β-xylanase; β-1,4-xylan </w:t>
            </w:r>
            <w:proofErr w:type="spellStart"/>
            <w:r w:rsidRPr="00111700">
              <w:rPr>
                <w:lang w:val="en-GB"/>
              </w:rPr>
              <w:t>xylanohydrolase</w:t>
            </w:r>
            <w:proofErr w:type="spellEnd"/>
            <w:r w:rsidRPr="00111700">
              <w:rPr>
                <w:lang w:val="en-GB"/>
              </w:rPr>
              <w:t>; endo-1,4-β-xylanase; β-D-xylanase</w:t>
            </w:r>
          </w:p>
        </w:tc>
      </w:tr>
      <w:tr w:rsidR="000E7DE4" w:rsidRPr="000E7DE4" w14:paraId="6B062A7C" w14:textId="77777777" w:rsidTr="007F61A4">
        <w:tc>
          <w:tcPr>
            <w:tcW w:w="2689" w:type="dxa"/>
          </w:tcPr>
          <w:p w14:paraId="195C53E3" w14:textId="77777777" w:rsidR="000E7DE4" w:rsidRPr="000E7DE4" w:rsidRDefault="000E7DE4" w:rsidP="000E7DE4">
            <w:pPr>
              <w:widowControl/>
              <w:spacing w:before="120" w:after="120"/>
              <w:rPr>
                <w:b/>
                <w:i/>
              </w:rPr>
            </w:pPr>
            <w:r w:rsidRPr="000E7DE4">
              <w:rPr>
                <w:b/>
                <w:i/>
              </w:rPr>
              <w:t>EC number:</w:t>
            </w:r>
          </w:p>
        </w:tc>
        <w:tc>
          <w:tcPr>
            <w:tcW w:w="6371" w:type="dxa"/>
          </w:tcPr>
          <w:p w14:paraId="060AE52A" w14:textId="5792E184" w:rsidR="000E7DE4" w:rsidRPr="000E7DE4" w:rsidRDefault="000E7DE4" w:rsidP="000E7DE4">
            <w:pPr>
              <w:widowControl/>
              <w:spacing w:before="120" w:after="120"/>
            </w:pPr>
            <w:r w:rsidRPr="000E7DE4">
              <w:t>3.2.1.</w:t>
            </w:r>
            <w:r w:rsidR="004C6FCA">
              <w:t>8</w:t>
            </w:r>
          </w:p>
        </w:tc>
      </w:tr>
      <w:tr w:rsidR="000E7DE4" w:rsidRPr="000E7DE4" w14:paraId="03AD1C15" w14:textId="77777777" w:rsidTr="007F61A4">
        <w:tc>
          <w:tcPr>
            <w:tcW w:w="2689" w:type="dxa"/>
          </w:tcPr>
          <w:p w14:paraId="6698DA05" w14:textId="77777777" w:rsidR="000E7DE4" w:rsidRPr="000E7DE4" w:rsidRDefault="000E7DE4" w:rsidP="000E7DE4">
            <w:pPr>
              <w:widowControl/>
              <w:spacing w:before="120" w:after="120"/>
              <w:rPr>
                <w:b/>
                <w:i/>
              </w:rPr>
            </w:pPr>
            <w:r w:rsidRPr="000E7DE4">
              <w:rPr>
                <w:b/>
                <w:i/>
              </w:rPr>
              <w:t>Reaction:</w:t>
            </w:r>
          </w:p>
        </w:tc>
        <w:tc>
          <w:tcPr>
            <w:tcW w:w="6371" w:type="dxa"/>
          </w:tcPr>
          <w:p w14:paraId="10F0DF24" w14:textId="21738084" w:rsidR="000E7DE4" w:rsidRPr="000E7DE4" w:rsidRDefault="000E7DE4" w:rsidP="000E7DE4">
            <w:pPr>
              <w:widowControl/>
              <w:spacing w:before="120" w:after="120"/>
              <w:rPr>
                <w:b/>
                <w:bCs/>
              </w:rPr>
            </w:pPr>
            <w:r w:rsidRPr="000E7DE4">
              <w:t xml:space="preserve">Catalyses the </w:t>
            </w:r>
            <w:proofErr w:type="spellStart"/>
            <w:r w:rsidR="000B21D7">
              <w:t>endo</w:t>
            </w:r>
            <w:r w:rsidRPr="000E7DE4">
              <w:t>hydrolysis</w:t>
            </w:r>
            <w:proofErr w:type="spellEnd"/>
            <w:r w:rsidRPr="000E7DE4">
              <w:t xml:space="preserve"> of </w:t>
            </w:r>
            <w:r w:rsidR="00EB4516">
              <w:t>(</w:t>
            </w:r>
            <w:r w:rsidR="00EB4516" w:rsidRPr="00111700">
              <w:rPr>
                <w:lang w:val="en-GB"/>
              </w:rPr>
              <w:t>1→4</w:t>
            </w:r>
            <w:r w:rsidR="00EB4516">
              <w:rPr>
                <w:lang w:val="en-GB"/>
              </w:rPr>
              <w:t>)</w:t>
            </w:r>
            <w:r w:rsidR="00E83B36">
              <w:t>-β-D-</w:t>
            </w:r>
            <w:proofErr w:type="spellStart"/>
            <w:r w:rsidR="00E83B36">
              <w:t>xylosidic</w:t>
            </w:r>
            <w:proofErr w:type="spellEnd"/>
            <w:r w:rsidR="00E83B36">
              <w:t xml:space="preserve"> linka</w:t>
            </w:r>
            <w:r w:rsidR="00EB4516">
              <w:t>g</w:t>
            </w:r>
            <w:r w:rsidR="00E83B36">
              <w:t xml:space="preserve">es in </w:t>
            </w:r>
            <w:proofErr w:type="spellStart"/>
            <w:r w:rsidR="00E83B36">
              <w:t>xylans</w:t>
            </w:r>
            <w:proofErr w:type="spellEnd"/>
          </w:p>
        </w:tc>
      </w:tr>
    </w:tbl>
    <w:p w14:paraId="75B0A191" w14:textId="3AFBE653" w:rsidR="00650269" w:rsidRPr="0035428E" w:rsidRDefault="36B93157" w:rsidP="058F45AF">
      <w:pPr>
        <w:rPr>
          <w:lang w:eastAsia="en-AU" w:bidi="ar-SA"/>
        </w:rPr>
      </w:pPr>
      <w:r w:rsidRPr="058F45AF">
        <w:t>T</w:t>
      </w:r>
      <w:r w:rsidR="0035428E" w:rsidRPr="058F45AF">
        <w:t>he hydrolysis reaction</w:t>
      </w:r>
      <w:r w:rsidR="5EBCC7FF" w:rsidRPr="058F45AF">
        <w:t xml:space="preserve"> scheme</w:t>
      </w:r>
      <w:r w:rsidR="0045444A">
        <w:rPr>
          <w:lang w:eastAsia="en-AU" w:bidi="ar-SA"/>
        </w:rPr>
        <w:t xml:space="preserve"> </w:t>
      </w:r>
      <w:r w:rsidR="5458BCD1" w:rsidRPr="058F45AF">
        <w:rPr>
          <w:lang w:eastAsia="en-AU" w:bidi="ar-SA"/>
        </w:rPr>
        <w:t>for</w:t>
      </w:r>
      <w:r w:rsidR="00352D36" w:rsidRPr="058F45AF">
        <w:rPr>
          <w:lang w:eastAsia="en-AU" w:bidi="ar-SA"/>
        </w:rPr>
        <w:t xml:space="preserve"> </w:t>
      </w:r>
      <w:r w:rsidR="00D9711B" w:rsidRPr="058F45AF">
        <w:rPr>
          <w:lang w:eastAsia="en-AU" w:bidi="ar-SA"/>
        </w:rPr>
        <w:t>endo-1,4</w:t>
      </w:r>
      <w:r w:rsidR="00CC54A8">
        <w:rPr>
          <w:lang w:eastAsia="en-AU" w:bidi="ar-SA"/>
        </w:rPr>
        <w:t>-</w:t>
      </w:r>
      <w:r w:rsidR="00D9711B" w:rsidRPr="058F45AF">
        <w:rPr>
          <w:lang w:eastAsia="en-AU" w:bidi="ar-SA"/>
        </w:rPr>
        <w:t>beta-xylanase</w:t>
      </w:r>
      <w:r w:rsidR="0045444A">
        <w:rPr>
          <w:lang w:eastAsia="en-AU" w:bidi="ar-SA"/>
        </w:rPr>
        <w:t xml:space="preserve"> </w:t>
      </w:r>
      <w:r w:rsidR="7F3E24B5" w:rsidRPr="058F45AF">
        <w:rPr>
          <w:lang w:eastAsia="en-AU" w:bidi="ar-SA"/>
        </w:rPr>
        <w:t>is available under</w:t>
      </w:r>
      <w:r w:rsidR="0035428E" w:rsidRPr="058F45AF">
        <w:rPr>
          <w:lang w:eastAsia="en-AU" w:bidi="ar-SA"/>
        </w:rPr>
        <w:t xml:space="preserve"> its record in the enzyme database BRENDA</w:t>
      </w:r>
      <w:r w:rsidR="0035428E" w:rsidRPr="058F45AF">
        <w:rPr>
          <w:vertAlign w:val="superscript"/>
          <w:lang w:eastAsia="en-AU" w:bidi="ar-SA"/>
        </w:rPr>
        <w:footnoteReference w:id="3"/>
      </w:r>
      <w:r w:rsidR="0035428E" w:rsidRPr="058F45AF">
        <w:rPr>
          <w:lang w:eastAsia="en-AU" w:bidi="ar-SA"/>
        </w:rPr>
        <w:t xml:space="preserve"> (Chang et al</w:t>
      </w:r>
      <w:r w:rsidR="000335D7" w:rsidRPr="058F45AF">
        <w:rPr>
          <w:lang w:eastAsia="en-AU" w:bidi="ar-SA"/>
        </w:rPr>
        <w:t>.</w:t>
      </w:r>
      <w:r w:rsidR="0035428E" w:rsidRPr="058F45AF">
        <w:rPr>
          <w:lang w:eastAsia="en-AU" w:bidi="ar-SA"/>
        </w:rPr>
        <w:t xml:space="preserve"> 2021).</w:t>
      </w:r>
    </w:p>
    <w:p w14:paraId="23863EF3" w14:textId="37235CE0" w:rsidR="00070815" w:rsidRDefault="00CC1B24" w:rsidP="00642A92">
      <w:pPr>
        <w:pStyle w:val="Heading2"/>
        <w:rPr>
          <w:lang w:eastAsia="en-AU"/>
        </w:rPr>
      </w:pPr>
      <w:bookmarkStart w:id="12" w:name="_Toc121322353"/>
      <w:r>
        <w:rPr>
          <w:lang w:eastAsia="en-AU"/>
        </w:rPr>
        <w:t>2.2 Manufacturing process</w:t>
      </w:r>
      <w:bookmarkEnd w:id="12"/>
    </w:p>
    <w:p w14:paraId="6686618A" w14:textId="7466DE90" w:rsidR="00CC1B24" w:rsidRDefault="00CC1B24" w:rsidP="00AE6A3A">
      <w:pPr>
        <w:pStyle w:val="Heading3"/>
      </w:pPr>
      <w:bookmarkStart w:id="13" w:name="_Toc121322354"/>
      <w:r>
        <w:t>2.2.1 Production of the enzyme</w:t>
      </w:r>
      <w:bookmarkEnd w:id="13"/>
    </w:p>
    <w:p w14:paraId="52C58605" w14:textId="123686EE" w:rsidR="00EE3D54" w:rsidRDefault="00305A1B" w:rsidP="00F162D4">
      <w:pPr>
        <w:rPr>
          <w:lang w:eastAsia="en-AU"/>
        </w:rPr>
      </w:pPr>
      <w:r>
        <w:rPr>
          <w:lang w:eastAsia="en-AU" w:bidi="ar-SA"/>
        </w:rPr>
        <w:t xml:space="preserve">Novozymes’ </w:t>
      </w:r>
      <w:r w:rsidR="00EC046C">
        <w:rPr>
          <w:lang w:eastAsia="en-AU" w:bidi="ar-SA"/>
        </w:rPr>
        <w:t xml:space="preserve">endo-1,4-beta-xylanase </w:t>
      </w:r>
      <w:r>
        <w:rPr>
          <w:lang w:eastAsia="en-AU" w:bidi="ar-SA"/>
        </w:rPr>
        <w:t xml:space="preserve">is produced by submerged fermentation of a </w:t>
      </w:r>
      <w:r w:rsidRPr="00192DBC">
        <w:rPr>
          <w:i/>
          <w:iCs/>
          <w:lang w:eastAsia="en-AU" w:bidi="ar-SA"/>
        </w:rPr>
        <w:t xml:space="preserve">T. </w:t>
      </w:r>
      <w:proofErr w:type="spellStart"/>
      <w:r w:rsidRPr="00192DBC">
        <w:rPr>
          <w:i/>
          <w:iCs/>
          <w:lang w:eastAsia="en-AU" w:bidi="ar-SA"/>
        </w:rPr>
        <w:t>reesei</w:t>
      </w:r>
      <w:proofErr w:type="spellEnd"/>
      <w:r>
        <w:rPr>
          <w:lang w:eastAsia="en-AU" w:bidi="ar-SA"/>
        </w:rPr>
        <w:t xml:space="preserve"> microorganism expressing a </w:t>
      </w:r>
      <w:r w:rsidR="00EC046C">
        <w:rPr>
          <w:lang w:eastAsia="en-AU" w:bidi="ar-SA"/>
        </w:rPr>
        <w:t xml:space="preserve">endo-1,4-beta-xylanase </w:t>
      </w:r>
      <w:r w:rsidR="00F16F72">
        <w:rPr>
          <w:lang w:eastAsia="en-AU" w:bidi="ar-SA"/>
        </w:rPr>
        <w:t xml:space="preserve">enzyme from </w:t>
      </w:r>
      <w:r w:rsidR="00192DBC" w:rsidRPr="00020DEB">
        <w:rPr>
          <w:i/>
          <w:iCs/>
          <w:lang w:bidi="ar-SA"/>
        </w:rPr>
        <w:t>T</w:t>
      </w:r>
      <w:r w:rsidR="0077170A">
        <w:rPr>
          <w:i/>
          <w:iCs/>
          <w:lang w:bidi="ar-SA"/>
        </w:rPr>
        <w:t>.</w:t>
      </w:r>
      <w:r w:rsidR="00192DBC">
        <w:rPr>
          <w:i/>
          <w:iCs/>
          <w:lang w:bidi="ar-SA"/>
        </w:rPr>
        <w:t xml:space="preserve"> </w:t>
      </w:r>
      <w:proofErr w:type="spellStart"/>
      <w:r w:rsidR="00192DBC">
        <w:rPr>
          <w:i/>
          <w:iCs/>
          <w:lang w:bidi="ar-SA"/>
        </w:rPr>
        <w:t>leycettanus</w:t>
      </w:r>
      <w:proofErr w:type="spellEnd"/>
      <w:r w:rsidR="00192DBC">
        <w:rPr>
          <w:i/>
          <w:iCs/>
          <w:lang w:bidi="ar-SA"/>
        </w:rPr>
        <w:t>.</w:t>
      </w:r>
      <w:r w:rsidR="00300945">
        <w:rPr>
          <w:i/>
          <w:iCs/>
          <w:lang w:bidi="ar-SA"/>
        </w:rPr>
        <w:t xml:space="preserve"> </w:t>
      </w:r>
      <w:r w:rsidR="00F162D4" w:rsidRPr="00F162D4">
        <w:rPr>
          <w:lang w:eastAsia="en-AU"/>
        </w:rPr>
        <w:t xml:space="preserve">The manufacturing process begins with fermentation followed by formulation and then quality control for the enzyme preparation. The fermentation steps include preparation of the inoculum, seed fermentation followed by the main fermentation. </w:t>
      </w:r>
      <w:r w:rsidR="00A36D75">
        <w:rPr>
          <w:lang w:eastAsia="en-AU"/>
        </w:rPr>
        <w:t>The</w:t>
      </w:r>
      <w:r w:rsidR="00A36D75" w:rsidRPr="00F162D4">
        <w:rPr>
          <w:lang w:eastAsia="en-AU"/>
        </w:rPr>
        <w:t xml:space="preserve"> </w:t>
      </w:r>
      <w:r w:rsidR="00F162D4" w:rsidRPr="00F162D4">
        <w:rPr>
          <w:lang w:eastAsia="en-AU"/>
        </w:rPr>
        <w:t xml:space="preserve">recovery stage </w:t>
      </w:r>
      <w:r w:rsidR="00A36D75">
        <w:rPr>
          <w:lang w:eastAsia="en-AU"/>
        </w:rPr>
        <w:t>includes</w:t>
      </w:r>
      <w:r w:rsidR="00A36D75" w:rsidRPr="00F162D4">
        <w:rPr>
          <w:lang w:eastAsia="en-AU"/>
        </w:rPr>
        <w:t xml:space="preserve"> </w:t>
      </w:r>
      <w:r w:rsidR="00F162D4" w:rsidRPr="00F162D4">
        <w:rPr>
          <w:lang w:eastAsia="en-AU"/>
        </w:rPr>
        <w:t xml:space="preserve">multiple steps </w:t>
      </w:r>
      <w:r w:rsidR="00A36D75">
        <w:rPr>
          <w:lang w:eastAsia="en-AU"/>
        </w:rPr>
        <w:t xml:space="preserve">to </w:t>
      </w:r>
      <w:r w:rsidR="00F162D4" w:rsidRPr="00F162D4">
        <w:rPr>
          <w:lang w:eastAsia="en-AU"/>
        </w:rPr>
        <w:t xml:space="preserve">separate, concentrate and stabilise the enzyme. Finally, the enzyme is </w:t>
      </w:r>
      <w:r w:rsidR="00790249">
        <w:rPr>
          <w:lang w:eastAsia="en-AU"/>
        </w:rPr>
        <w:t>blended</w:t>
      </w:r>
      <w:r w:rsidR="00790249" w:rsidRPr="00F162D4">
        <w:rPr>
          <w:lang w:eastAsia="en-AU"/>
        </w:rPr>
        <w:t xml:space="preserve"> </w:t>
      </w:r>
      <w:r w:rsidR="00F162D4" w:rsidRPr="00F162D4">
        <w:rPr>
          <w:lang w:eastAsia="en-AU"/>
        </w:rPr>
        <w:t>into an enzyme preparation.</w:t>
      </w:r>
      <w:r w:rsidR="00F162D4" w:rsidRPr="00F162D4">
        <w:rPr>
          <w:vertAlign w:val="superscript"/>
          <w:lang w:eastAsia="en-AU"/>
        </w:rPr>
        <w:footnoteReference w:id="4"/>
      </w:r>
    </w:p>
    <w:p w14:paraId="5A6932A8" w14:textId="024C7EE6" w:rsidR="00424DC2" w:rsidRDefault="00424DC2" w:rsidP="006436D8">
      <w:pPr>
        <w:widowControl/>
        <w:spacing w:before="120" w:after="120"/>
        <w:rPr>
          <w:lang w:eastAsia="en-AU"/>
        </w:rPr>
      </w:pPr>
      <w:r w:rsidRPr="00251CE7">
        <w:rPr>
          <w:lang w:eastAsia="en-AU"/>
        </w:rPr>
        <w:t xml:space="preserve">The </w:t>
      </w:r>
      <w:r>
        <w:rPr>
          <w:lang w:eastAsia="en-AU"/>
        </w:rPr>
        <w:t>applicant states that the enzyme</w:t>
      </w:r>
      <w:r w:rsidRPr="00251CE7">
        <w:rPr>
          <w:lang w:eastAsia="en-AU"/>
        </w:rPr>
        <w:t xml:space="preserve"> is manufactured in accordance with current Good Manufacturing Practice for Food (cGMP) and the principles of Hazard Analysis and Critical Control Point (HACCP).</w:t>
      </w:r>
      <w:r>
        <w:rPr>
          <w:lang w:eastAsia="en-AU"/>
        </w:rPr>
        <w:t xml:space="preserve"> Novozymes follow relevant EC regulations for manufacture and packaging of food enzymes and for control and inspection. The quality management system complies with ISO9001:2015 for the development, production and sale of industrial enzymes at their Denmark facility.</w:t>
      </w:r>
    </w:p>
    <w:p w14:paraId="454D104B" w14:textId="1DE89049" w:rsidR="00CE7BD8" w:rsidRPr="00732729" w:rsidRDefault="00CE7BD8" w:rsidP="00CE7BD8">
      <w:pPr>
        <w:widowControl/>
        <w:spacing w:before="120" w:after="120"/>
        <w:rPr>
          <w:lang w:eastAsia="en-AU" w:bidi="ar-SA"/>
        </w:rPr>
      </w:pPr>
      <w:r w:rsidRPr="00732729">
        <w:rPr>
          <w:lang w:eastAsia="en-AU"/>
        </w:rPr>
        <w:t xml:space="preserve">The applicant states that all raw materials used in the production of the enzyme are of food grade quality that comply with relevant specifications. </w:t>
      </w:r>
    </w:p>
    <w:p w14:paraId="07CFCE57" w14:textId="21F24DBA" w:rsidR="00467E17" w:rsidRDefault="00CE7BD8" w:rsidP="00467E17">
      <w:r>
        <w:t xml:space="preserve">Details on the manufacturing process, raw materials and ingredients used in the production of the </w:t>
      </w:r>
      <w:r w:rsidR="00EC046C">
        <w:t xml:space="preserve">endo-1,4-beta-xylanase </w:t>
      </w:r>
      <w:r>
        <w:t>enzyme preparation were provided in the application as Confidential Commercial Information (CCI).</w:t>
      </w:r>
    </w:p>
    <w:p w14:paraId="11CE4638" w14:textId="03D1199A" w:rsidR="00CC1B24" w:rsidRDefault="00CC1B24" w:rsidP="00AE6A3A">
      <w:pPr>
        <w:pStyle w:val="Heading3"/>
      </w:pPr>
      <w:bookmarkStart w:id="14" w:name="_Toc121322355"/>
      <w:r>
        <w:lastRenderedPageBreak/>
        <w:t>2.2.2 Allergen considerations</w:t>
      </w:r>
      <w:bookmarkEnd w:id="14"/>
    </w:p>
    <w:p w14:paraId="5DC33334" w14:textId="40019889" w:rsidR="005C4B6E" w:rsidRPr="005C4B6E" w:rsidRDefault="00AB3C9A" w:rsidP="00AB3C9A">
      <w:pPr>
        <w:widowControl/>
        <w:spacing w:before="120" w:after="120"/>
        <w:rPr>
          <w:lang w:eastAsia="en-AU" w:bidi="ar-SA"/>
        </w:rPr>
      </w:pPr>
      <w:r w:rsidRPr="2F66B5B4">
        <w:rPr>
          <w:lang w:eastAsia="en-AU" w:bidi="ar-SA"/>
        </w:rPr>
        <w:t xml:space="preserve">The applicant provided the Product Data Sheet for the enzyme preparation. This states that certain allergens are not present including cereals containing gluten, crustaceans, egg, fish, lupin, milk (including lactose), molluscs, nuts, peanuts, sesame, soy, sulphur dioxide/sulphites. The applicant also sent additional information to FSANZ as CCI, providing supporting information regarding the absence of the </w:t>
      </w:r>
      <w:r w:rsidR="006B170F">
        <w:rPr>
          <w:lang w:eastAsia="en-AU" w:bidi="ar-SA"/>
        </w:rPr>
        <w:t>identified</w:t>
      </w:r>
      <w:r w:rsidR="006B170F" w:rsidRPr="2F66B5B4">
        <w:rPr>
          <w:lang w:eastAsia="en-AU" w:bidi="ar-SA"/>
        </w:rPr>
        <w:t xml:space="preserve"> </w:t>
      </w:r>
      <w:r w:rsidRPr="2F66B5B4">
        <w:rPr>
          <w:lang w:eastAsia="en-AU" w:bidi="ar-SA"/>
        </w:rPr>
        <w:t>allergens in their enzyme preparation.</w:t>
      </w:r>
    </w:p>
    <w:p w14:paraId="6E4EBEC3" w14:textId="27BF6BFE" w:rsidR="000452F5" w:rsidRDefault="000452F5" w:rsidP="00AE6A3A">
      <w:pPr>
        <w:pStyle w:val="Heading3"/>
      </w:pPr>
      <w:bookmarkStart w:id="15" w:name="_Toc121322356"/>
      <w:r>
        <w:t xml:space="preserve">2.2.3 </w:t>
      </w:r>
      <w:r w:rsidR="00E008A5">
        <w:t>Specifications</w:t>
      </w:r>
      <w:bookmarkEnd w:id="15"/>
    </w:p>
    <w:p w14:paraId="64966EDD" w14:textId="67CBC04D" w:rsidR="00015B71" w:rsidRPr="00015B71" w:rsidRDefault="00015B71" w:rsidP="00015B71">
      <w:pPr>
        <w:widowControl/>
        <w:spacing w:before="120" w:after="120"/>
        <w:rPr>
          <w:lang w:eastAsia="en-AU" w:bidi="ar-SA"/>
        </w:rPr>
      </w:pPr>
      <w:r w:rsidRPr="00015B71">
        <w:rPr>
          <w:lang w:eastAsia="en-AU" w:bidi="ar-SA"/>
        </w:rPr>
        <w:t xml:space="preserve">There are international specifications for enzyme preparations used in the production of food. These have been established by the Joint FAO/WHO Expert Committee on Food Additives (JECFA) in its Compendium of Food Additive Specifications (FAO/WHO 2006) and in the Food </w:t>
      </w:r>
      <w:r w:rsidR="00480EDB">
        <w:rPr>
          <w:lang w:eastAsia="en-AU" w:bidi="ar-SA"/>
        </w:rPr>
        <w:t>c</w:t>
      </w:r>
      <w:r w:rsidRPr="00015B71">
        <w:rPr>
          <w:lang w:eastAsia="en-AU" w:bidi="ar-SA"/>
        </w:rPr>
        <w:t xml:space="preserve">hemicals </w:t>
      </w:r>
      <w:r w:rsidR="00480EDB">
        <w:rPr>
          <w:lang w:eastAsia="en-AU" w:bidi="ar-SA"/>
        </w:rPr>
        <w:t>c</w:t>
      </w:r>
      <w:r w:rsidRPr="00015B71">
        <w:rPr>
          <w:lang w:eastAsia="en-AU" w:bidi="ar-SA"/>
        </w:rPr>
        <w:t>odex (FCC 2008). These specifications are included in earlier publications of the primary sources listed in section S3—2 of Schedule 3 of the Code and enzymes used as a processing aid must meet either of these specifications. The applicant states that the final enzyme preparation is consistent with the requirements in both specifications. Schedule 3 of the Code also includes specifications for arsenic and heavy metals (section S3—4) if they are not already detailed within specifications in sections S3—2 or S3—3.</w:t>
      </w:r>
    </w:p>
    <w:p w14:paraId="6C1A4E70" w14:textId="6A6FEC42" w:rsidR="00015B71" w:rsidRPr="00015B71" w:rsidRDefault="00015B71" w:rsidP="00331FD2">
      <w:pPr>
        <w:widowControl/>
        <w:spacing w:before="120" w:after="120"/>
        <w:rPr>
          <w:lang w:eastAsia="en-AU" w:bidi="ar-SA"/>
        </w:rPr>
      </w:pPr>
      <w:r w:rsidRPr="00015B71">
        <w:rPr>
          <w:lang w:eastAsia="en-AU" w:bidi="ar-SA"/>
        </w:rPr>
        <w:t xml:space="preserve">The applicant provided the results of analysis of </w:t>
      </w:r>
      <w:r w:rsidR="006B170F">
        <w:rPr>
          <w:lang w:eastAsia="en-AU" w:bidi="ar-SA"/>
        </w:rPr>
        <w:t xml:space="preserve">three </w:t>
      </w:r>
      <w:r w:rsidRPr="00015B71">
        <w:rPr>
          <w:lang w:eastAsia="en-AU" w:bidi="ar-SA"/>
        </w:rPr>
        <w:t xml:space="preserve">representative batches of the </w:t>
      </w:r>
      <w:r w:rsidR="0076774E">
        <w:rPr>
          <w:lang w:eastAsia="en-AU" w:bidi="ar-SA"/>
        </w:rPr>
        <w:t>xylanase</w:t>
      </w:r>
      <w:r w:rsidRPr="00015B71">
        <w:rPr>
          <w:lang w:eastAsia="en-AU" w:bidi="ar-SA"/>
        </w:rPr>
        <w:t xml:space="preserve"> preparation. Table 2 provides a comparison of this analysis with international specifications established by JECFA and Food </w:t>
      </w:r>
      <w:r w:rsidR="00480EDB">
        <w:rPr>
          <w:lang w:eastAsia="en-AU" w:bidi="ar-SA"/>
        </w:rPr>
        <w:t>c</w:t>
      </w:r>
      <w:r w:rsidR="00480EDB" w:rsidRPr="00015B71">
        <w:rPr>
          <w:lang w:eastAsia="en-AU" w:bidi="ar-SA"/>
        </w:rPr>
        <w:t xml:space="preserve">hemicals </w:t>
      </w:r>
      <w:r w:rsidR="00480EDB">
        <w:rPr>
          <w:lang w:eastAsia="en-AU" w:bidi="ar-SA"/>
        </w:rPr>
        <w:t>c</w:t>
      </w:r>
      <w:r w:rsidR="00480EDB" w:rsidRPr="00015B71">
        <w:rPr>
          <w:lang w:eastAsia="en-AU" w:bidi="ar-SA"/>
        </w:rPr>
        <w:t>odex</w:t>
      </w:r>
      <w:r w:rsidRPr="00015B71">
        <w:rPr>
          <w:lang w:eastAsia="en-AU" w:bidi="ar-SA"/>
        </w:rPr>
        <w:t>, as well as those in the Code (as applicable). Based on these results, the enzyme preparation met all relevant specifications for arsenic, metals and the microbiological criteria.</w:t>
      </w:r>
    </w:p>
    <w:p w14:paraId="5B560BF5" w14:textId="5E195539" w:rsidR="00015B71" w:rsidRPr="00015B71" w:rsidRDefault="00015B71" w:rsidP="00331FD2">
      <w:pPr>
        <w:pStyle w:val="FSFigureTitle"/>
        <w:spacing w:before="240"/>
      </w:pPr>
      <w:r w:rsidRPr="00015B71">
        <w:t>Table 2</w:t>
      </w:r>
      <w:r w:rsidRPr="00015B71">
        <w:tab/>
        <w:t xml:space="preserve">Comparison of Novozymes </w:t>
      </w:r>
      <w:r w:rsidR="00EC046C">
        <w:t xml:space="preserve">endo-1,4-beta-xylanase </w:t>
      </w:r>
      <w:r w:rsidRPr="00015B71">
        <w:t xml:space="preserve">enzyme preparation compared to FAO/WHO JECFA, Food </w:t>
      </w:r>
      <w:r w:rsidR="00480EDB">
        <w:t>c</w:t>
      </w:r>
      <w:r w:rsidR="00480EDB" w:rsidRPr="00015B71">
        <w:t xml:space="preserve">hemicals </w:t>
      </w:r>
      <w:r w:rsidR="00480EDB">
        <w:t>c</w:t>
      </w:r>
      <w:r w:rsidR="00480EDB" w:rsidRPr="00015B71">
        <w:t xml:space="preserve">odex </w:t>
      </w:r>
      <w:r w:rsidRPr="00015B71">
        <w:t>and Code specifications for enzymes</w:t>
      </w:r>
    </w:p>
    <w:tbl>
      <w:tblPr>
        <w:tblStyle w:val="TableClassic42"/>
        <w:tblW w:w="9072" w:type="dxa"/>
        <w:tblInd w:w="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Caption w:val="Table 2"/>
        <w:tblDescription w:val="Analyses of Novozymes enzyme preparation alpha-arabinofuransodiase compared to specifications for heavy metals and microbial contaminants"/>
      </w:tblPr>
      <w:tblGrid>
        <w:gridCol w:w="2268"/>
        <w:gridCol w:w="1731"/>
        <w:gridCol w:w="1671"/>
        <w:gridCol w:w="1594"/>
        <w:gridCol w:w="1808"/>
      </w:tblGrid>
      <w:tr w:rsidR="00015B71" w:rsidRPr="00015B71" w14:paraId="412D3364" w14:textId="77777777" w:rsidTr="007F61A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val="restart"/>
            <w:shd w:val="clear" w:color="auto" w:fill="616571"/>
            <w:vAlign w:val="bottom"/>
          </w:tcPr>
          <w:p w14:paraId="0F15A4C0" w14:textId="77777777" w:rsidR="00015B71" w:rsidRPr="00015B71" w:rsidRDefault="00015B71" w:rsidP="00015B71">
            <w:pPr>
              <w:keepNext/>
              <w:keepLines/>
              <w:jc w:val="center"/>
              <w:rPr>
                <w:rFonts w:cs="Arial"/>
                <w:sz w:val="20"/>
                <w:szCs w:val="20"/>
                <w:lang w:eastAsia="en-GB"/>
              </w:rPr>
            </w:pPr>
            <w:r w:rsidRPr="00015B71">
              <w:rPr>
                <w:rFonts w:cs="Arial"/>
                <w:sz w:val="20"/>
                <w:szCs w:val="20"/>
                <w:lang w:eastAsia="en-GB"/>
              </w:rPr>
              <w:t>Analysis</w:t>
            </w:r>
          </w:p>
        </w:tc>
        <w:tc>
          <w:tcPr>
            <w:tcW w:w="1731" w:type="dxa"/>
            <w:vMerge w:val="restart"/>
            <w:shd w:val="clear" w:color="auto" w:fill="616571"/>
            <w:vAlign w:val="bottom"/>
            <w:hideMark/>
          </w:tcPr>
          <w:p w14:paraId="4C5E1F0F" w14:textId="77777777" w:rsidR="00015B71" w:rsidRPr="00015B71" w:rsidRDefault="00015B71" w:rsidP="00015B71">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Analysis provided by manufacturer</w:t>
            </w:r>
          </w:p>
        </w:tc>
        <w:tc>
          <w:tcPr>
            <w:tcW w:w="5073" w:type="dxa"/>
            <w:gridSpan w:val="3"/>
            <w:shd w:val="clear" w:color="auto" w:fill="616571"/>
            <w:vAlign w:val="bottom"/>
            <w:hideMark/>
          </w:tcPr>
          <w:p w14:paraId="51DA5CF6" w14:textId="77777777" w:rsidR="00015B71" w:rsidRPr="00015B71" w:rsidRDefault="00015B71" w:rsidP="00015B71">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Specifications</w:t>
            </w:r>
          </w:p>
        </w:tc>
      </w:tr>
      <w:tr w:rsidR="00015B71" w:rsidRPr="00015B71" w14:paraId="42A04466" w14:textId="77777777" w:rsidTr="007F61A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vAlign w:val="bottom"/>
            <w:hideMark/>
          </w:tcPr>
          <w:p w14:paraId="7E195DFD" w14:textId="77777777" w:rsidR="00015B71" w:rsidRPr="00015B71" w:rsidRDefault="00015B71" w:rsidP="00015B71">
            <w:pPr>
              <w:spacing w:before="120" w:after="120"/>
              <w:jc w:val="center"/>
              <w:rPr>
                <w:rFonts w:cs="Arial"/>
                <w:sz w:val="20"/>
                <w:szCs w:val="20"/>
                <w:lang w:eastAsia="en-GB"/>
              </w:rPr>
            </w:pPr>
          </w:p>
        </w:tc>
        <w:tc>
          <w:tcPr>
            <w:tcW w:w="1731" w:type="dxa"/>
            <w:vMerge/>
            <w:vAlign w:val="bottom"/>
            <w:hideMark/>
          </w:tcPr>
          <w:p w14:paraId="2E37AADF" w14:textId="77777777" w:rsidR="00015B71" w:rsidRPr="00015B71" w:rsidRDefault="00015B71" w:rsidP="00015B7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p>
        </w:tc>
        <w:tc>
          <w:tcPr>
            <w:tcW w:w="1671" w:type="dxa"/>
            <w:shd w:val="clear" w:color="auto" w:fill="616571"/>
            <w:vAlign w:val="bottom"/>
            <w:hideMark/>
          </w:tcPr>
          <w:p w14:paraId="28A2FF82" w14:textId="77777777" w:rsidR="00015B71" w:rsidRPr="00015B71" w:rsidRDefault="00015B71" w:rsidP="00015B71">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FAO/WHO JECFA</w:t>
            </w:r>
          </w:p>
          <w:p w14:paraId="1030F78B" w14:textId="77777777" w:rsidR="00015B71" w:rsidRPr="00015B71" w:rsidRDefault="00015B71" w:rsidP="00015B71">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(2006)</w:t>
            </w:r>
          </w:p>
        </w:tc>
        <w:tc>
          <w:tcPr>
            <w:tcW w:w="1594" w:type="dxa"/>
            <w:shd w:val="clear" w:color="auto" w:fill="616571"/>
            <w:vAlign w:val="bottom"/>
            <w:hideMark/>
          </w:tcPr>
          <w:p w14:paraId="419556C1" w14:textId="77777777" w:rsidR="00015B71" w:rsidRPr="00015B71" w:rsidRDefault="00015B71" w:rsidP="00015B71">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Food Chemicals Codex</w:t>
            </w:r>
          </w:p>
          <w:p w14:paraId="192DF9FD" w14:textId="29113507" w:rsidR="00015B71" w:rsidRPr="00015B71" w:rsidRDefault="00015B71" w:rsidP="00015B71">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(FCC, 202</w:t>
            </w:r>
            <w:r w:rsidR="00F167F5">
              <w:rPr>
                <w:rFonts w:cs="Arial"/>
                <w:sz w:val="20"/>
                <w:szCs w:val="20"/>
                <w:lang w:eastAsia="en-GB"/>
              </w:rPr>
              <w:t>0</w:t>
            </w:r>
            <w:r w:rsidRPr="00015B71">
              <w:rPr>
                <w:rFonts w:cs="Arial"/>
                <w:sz w:val="20"/>
                <w:szCs w:val="20"/>
                <w:lang w:eastAsia="en-GB"/>
              </w:rPr>
              <w:t>)</w:t>
            </w:r>
          </w:p>
        </w:tc>
        <w:tc>
          <w:tcPr>
            <w:tcW w:w="1808" w:type="dxa"/>
            <w:shd w:val="clear" w:color="auto" w:fill="616571"/>
            <w:vAlign w:val="bottom"/>
            <w:hideMark/>
          </w:tcPr>
          <w:p w14:paraId="13DC2A84" w14:textId="77777777" w:rsidR="00015B71" w:rsidRPr="00015B71" w:rsidRDefault="00015B71" w:rsidP="00015B71">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Australia New Zealand Food Standards Code</w:t>
            </w:r>
          </w:p>
          <w:p w14:paraId="0057C7FF" w14:textId="77777777" w:rsidR="00015B71" w:rsidRPr="00015B71" w:rsidRDefault="00015B71" w:rsidP="00015B71">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(section S3—4)</w:t>
            </w:r>
          </w:p>
        </w:tc>
      </w:tr>
      <w:tr w:rsidR="00015B71" w:rsidRPr="00015B71" w14:paraId="19DB6E70" w14:textId="77777777" w:rsidTr="007F61A4">
        <w:tc>
          <w:tcPr>
            <w:cnfStyle w:val="001000000000" w:firstRow="0" w:lastRow="0" w:firstColumn="1" w:lastColumn="0" w:oddVBand="0" w:evenVBand="0" w:oddHBand="0" w:evenHBand="0" w:firstRowFirstColumn="0" w:firstRowLastColumn="0" w:lastRowFirstColumn="0" w:lastRowLastColumn="0"/>
            <w:tcW w:w="2268" w:type="dxa"/>
            <w:shd w:val="clear" w:color="auto" w:fill="ECECEC"/>
            <w:hideMark/>
          </w:tcPr>
          <w:p w14:paraId="196CD0D4" w14:textId="77777777" w:rsidR="00015B71" w:rsidRPr="00015B71" w:rsidRDefault="00015B71" w:rsidP="00015B71">
            <w:pPr>
              <w:rPr>
                <w:rFonts w:cs="Arial"/>
                <w:sz w:val="20"/>
                <w:szCs w:val="20"/>
                <w:lang w:eastAsia="en-GB"/>
              </w:rPr>
            </w:pPr>
            <w:r w:rsidRPr="00015B71">
              <w:rPr>
                <w:rFonts w:cs="Arial"/>
                <w:sz w:val="20"/>
                <w:szCs w:val="20"/>
                <w:lang w:eastAsia="en-GB"/>
              </w:rPr>
              <w:t>Lead (mg/kg)</w:t>
            </w:r>
          </w:p>
        </w:tc>
        <w:tc>
          <w:tcPr>
            <w:tcW w:w="1731" w:type="dxa"/>
            <w:shd w:val="clear" w:color="auto" w:fill="ECECEC"/>
            <w:hideMark/>
          </w:tcPr>
          <w:p w14:paraId="7E9419B9"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&lt;0.5</w:t>
            </w:r>
          </w:p>
        </w:tc>
        <w:tc>
          <w:tcPr>
            <w:tcW w:w="1671" w:type="dxa"/>
            <w:shd w:val="clear" w:color="auto" w:fill="ECECEC"/>
            <w:hideMark/>
          </w:tcPr>
          <w:p w14:paraId="12ABBDB4"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≤5</w:t>
            </w:r>
          </w:p>
        </w:tc>
        <w:tc>
          <w:tcPr>
            <w:tcW w:w="1594" w:type="dxa"/>
            <w:shd w:val="clear" w:color="auto" w:fill="ECECEC"/>
            <w:hideMark/>
          </w:tcPr>
          <w:p w14:paraId="619960A8"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≤5</w:t>
            </w:r>
          </w:p>
        </w:tc>
        <w:tc>
          <w:tcPr>
            <w:tcW w:w="1808" w:type="dxa"/>
            <w:shd w:val="clear" w:color="auto" w:fill="ECECEC"/>
            <w:hideMark/>
          </w:tcPr>
          <w:p w14:paraId="541DE4B2"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≤2</w:t>
            </w:r>
          </w:p>
        </w:tc>
      </w:tr>
      <w:tr w:rsidR="00015B71" w:rsidRPr="00015B71" w14:paraId="205C57EE" w14:textId="77777777" w:rsidTr="007F61A4">
        <w:tc>
          <w:tcPr>
            <w:cnfStyle w:val="001000000000" w:firstRow="0" w:lastRow="0" w:firstColumn="1" w:lastColumn="0" w:oddVBand="0" w:evenVBand="0" w:oddHBand="0" w:evenHBand="0" w:firstRowFirstColumn="0" w:firstRowLastColumn="0" w:lastRowFirstColumn="0" w:lastRowLastColumn="0"/>
            <w:tcW w:w="2268" w:type="dxa"/>
            <w:hideMark/>
          </w:tcPr>
          <w:p w14:paraId="12287623" w14:textId="77777777" w:rsidR="00015B71" w:rsidRPr="00015B71" w:rsidRDefault="00015B71" w:rsidP="00015B71">
            <w:pPr>
              <w:rPr>
                <w:rFonts w:cs="Arial"/>
                <w:i/>
                <w:sz w:val="20"/>
                <w:szCs w:val="20"/>
                <w:lang w:eastAsia="en-GB"/>
              </w:rPr>
            </w:pPr>
            <w:r w:rsidRPr="00015B71">
              <w:rPr>
                <w:rFonts w:cs="Arial"/>
                <w:sz w:val="20"/>
                <w:szCs w:val="20"/>
                <w:lang w:eastAsia="en-GB"/>
              </w:rPr>
              <w:t>Arsenic (mg/kg)</w:t>
            </w:r>
          </w:p>
        </w:tc>
        <w:tc>
          <w:tcPr>
            <w:tcW w:w="1731" w:type="dxa"/>
            <w:hideMark/>
          </w:tcPr>
          <w:p w14:paraId="3548E014"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&lt;0.3</w:t>
            </w:r>
          </w:p>
        </w:tc>
        <w:tc>
          <w:tcPr>
            <w:tcW w:w="1671" w:type="dxa"/>
            <w:hideMark/>
          </w:tcPr>
          <w:p w14:paraId="47C91E0E"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w:t>
            </w:r>
          </w:p>
        </w:tc>
        <w:tc>
          <w:tcPr>
            <w:tcW w:w="1594" w:type="dxa"/>
            <w:hideMark/>
          </w:tcPr>
          <w:p w14:paraId="0992E12C"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w:t>
            </w:r>
          </w:p>
        </w:tc>
        <w:tc>
          <w:tcPr>
            <w:tcW w:w="1808" w:type="dxa"/>
            <w:hideMark/>
          </w:tcPr>
          <w:p w14:paraId="62D4FF8B"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≤1</w:t>
            </w:r>
          </w:p>
        </w:tc>
      </w:tr>
      <w:tr w:rsidR="00015B71" w:rsidRPr="00015B71" w14:paraId="6FBCE73C" w14:textId="77777777" w:rsidTr="007F61A4">
        <w:tc>
          <w:tcPr>
            <w:cnfStyle w:val="001000000000" w:firstRow="0" w:lastRow="0" w:firstColumn="1" w:lastColumn="0" w:oddVBand="0" w:evenVBand="0" w:oddHBand="0" w:evenHBand="0" w:firstRowFirstColumn="0" w:firstRowLastColumn="0" w:lastRowFirstColumn="0" w:lastRowLastColumn="0"/>
            <w:tcW w:w="2268" w:type="dxa"/>
            <w:shd w:val="clear" w:color="auto" w:fill="ECECEC"/>
            <w:hideMark/>
          </w:tcPr>
          <w:p w14:paraId="11A61689" w14:textId="77777777" w:rsidR="00015B71" w:rsidRPr="00015B71" w:rsidRDefault="00015B71" w:rsidP="00015B71">
            <w:pPr>
              <w:rPr>
                <w:rFonts w:cs="Arial"/>
                <w:sz w:val="20"/>
                <w:szCs w:val="20"/>
                <w:lang w:eastAsia="en-GB"/>
              </w:rPr>
            </w:pPr>
            <w:r w:rsidRPr="00015B71">
              <w:rPr>
                <w:rFonts w:cs="Arial"/>
                <w:sz w:val="20"/>
                <w:szCs w:val="20"/>
                <w:lang w:eastAsia="en-GB"/>
              </w:rPr>
              <w:t>Cadmium (mg/kg)</w:t>
            </w:r>
          </w:p>
        </w:tc>
        <w:tc>
          <w:tcPr>
            <w:tcW w:w="1731" w:type="dxa"/>
            <w:shd w:val="clear" w:color="auto" w:fill="ECECEC"/>
            <w:hideMark/>
          </w:tcPr>
          <w:p w14:paraId="2BBB4DC7"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&lt;0.05</w:t>
            </w:r>
          </w:p>
        </w:tc>
        <w:tc>
          <w:tcPr>
            <w:tcW w:w="1671" w:type="dxa"/>
            <w:shd w:val="clear" w:color="auto" w:fill="ECECEC"/>
            <w:hideMark/>
          </w:tcPr>
          <w:p w14:paraId="4BA3941F"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w:t>
            </w:r>
          </w:p>
        </w:tc>
        <w:tc>
          <w:tcPr>
            <w:tcW w:w="1594" w:type="dxa"/>
            <w:shd w:val="clear" w:color="auto" w:fill="ECECEC"/>
            <w:hideMark/>
          </w:tcPr>
          <w:p w14:paraId="5D765861"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w:t>
            </w:r>
          </w:p>
        </w:tc>
        <w:tc>
          <w:tcPr>
            <w:tcW w:w="1808" w:type="dxa"/>
            <w:shd w:val="clear" w:color="auto" w:fill="ECECEC"/>
            <w:hideMark/>
          </w:tcPr>
          <w:p w14:paraId="20296964"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≤1</w:t>
            </w:r>
          </w:p>
        </w:tc>
      </w:tr>
      <w:tr w:rsidR="00015B71" w:rsidRPr="00015B71" w14:paraId="7F21D65C" w14:textId="77777777" w:rsidTr="007F61A4">
        <w:tc>
          <w:tcPr>
            <w:cnfStyle w:val="001000000000" w:firstRow="0" w:lastRow="0" w:firstColumn="1" w:lastColumn="0" w:oddVBand="0" w:evenVBand="0" w:oddHBand="0" w:evenHBand="0" w:firstRowFirstColumn="0" w:firstRowLastColumn="0" w:lastRowFirstColumn="0" w:lastRowLastColumn="0"/>
            <w:tcW w:w="2268" w:type="dxa"/>
            <w:hideMark/>
          </w:tcPr>
          <w:p w14:paraId="3CFFD4B2" w14:textId="77777777" w:rsidR="00015B71" w:rsidRPr="00015B71" w:rsidRDefault="00015B71" w:rsidP="00015B71">
            <w:pPr>
              <w:rPr>
                <w:rFonts w:cs="Arial"/>
                <w:sz w:val="20"/>
                <w:szCs w:val="20"/>
                <w:lang w:eastAsia="en-GB"/>
              </w:rPr>
            </w:pPr>
            <w:r w:rsidRPr="00015B71">
              <w:rPr>
                <w:rFonts w:cs="Arial"/>
                <w:sz w:val="20"/>
                <w:szCs w:val="20"/>
                <w:lang w:eastAsia="en-GB"/>
              </w:rPr>
              <w:t>Mercury (mg/kg)</w:t>
            </w:r>
          </w:p>
        </w:tc>
        <w:tc>
          <w:tcPr>
            <w:tcW w:w="1731" w:type="dxa"/>
            <w:hideMark/>
          </w:tcPr>
          <w:p w14:paraId="3D8F79B8"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&lt;0.05</w:t>
            </w:r>
          </w:p>
        </w:tc>
        <w:tc>
          <w:tcPr>
            <w:tcW w:w="1671" w:type="dxa"/>
            <w:hideMark/>
          </w:tcPr>
          <w:p w14:paraId="443D6581"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w:t>
            </w:r>
          </w:p>
        </w:tc>
        <w:tc>
          <w:tcPr>
            <w:tcW w:w="1594" w:type="dxa"/>
            <w:hideMark/>
          </w:tcPr>
          <w:p w14:paraId="026BE1A8"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w:t>
            </w:r>
          </w:p>
        </w:tc>
        <w:tc>
          <w:tcPr>
            <w:tcW w:w="1808" w:type="dxa"/>
            <w:hideMark/>
          </w:tcPr>
          <w:p w14:paraId="7FBC8AB2"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≤1</w:t>
            </w:r>
          </w:p>
        </w:tc>
      </w:tr>
      <w:tr w:rsidR="00015B71" w:rsidRPr="00015B71" w14:paraId="5CE8BF04" w14:textId="77777777" w:rsidTr="007F61A4">
        <w:tc>
          <w:tcPr>
            <w:cnfStyle w:val="001000000000" w:firstRow="0" w:lastRow="0" w:firstColumn="1" w:lastColumn="0" w:oddVBand="0" w:evenVBand="0" w:oddHBand="0" w:evenHBand="0" w:firstRowFirstColumn="0" w:firstRowLastColumn="0" w:lastRowFirstColumn="0" w:lastRowLastColumn="0"/>
            <w:tcW w:w="2268" w:type="dxa"/>
            <w:shd w:val="clear" w:color="auto" w:fill="ECECEC"/>
            <w:hideMark/>
          </w:tcPr>
          <w:p w14:paraId="50297664" w14:textId="77777777" w:rsidR="00015B71" w:rsidRPr="00015B71" w:rsidRDefault="00015B71" w:rsidP="00015B71">
            <w:pPr>
              <w:rPr>
                <w:rFonts w:cs="Arial"/>
                <w:sz w:val="20"/>
                <w:szCs w:val="20"/>
                <w:lang w:eastAsia="en-GB"/>
              </w:rPr>
            </w:pPr>
            <w:r w:rsidRPr="00015B71">
              <w:rPr>
                <w:rFonts w:cs="Arial"/>
                <w:sz w:val="20"/>
                <w:szCs w:val="20"/>
                <w:lang w:eastAsia="en-GB"/>
              </w:rPr>
              <w:t>Total Coliforms (CFU/g)</w:t>
            </w:r>
          </w:p>
        </w:tc>
        <w:tc>
          <w:tcPr>
            <w:tcW w:w="1731" w:type="dxa"/>
            <w:shd w:val="clear" w:color="auto" w:fill="ECECEC"/>
            <w:hideMark/>
          </w:tcPr>
          <w:p w14:paraId="61AFB49D"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&lt;4</w:t>
            </w:r>
          </w:p>
        </w:tc>
        <w:tc>
          <w:tcPr>
            <w:tcW w:w="1671" w:type="dxa"/>
            <w:shd w:val="clear" w:color="auto" w:fill="ECECEC"/>
            <w:hideMark/>
          </w:tcPr>
          <w:p w14:paraId="2CB0E685"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 xml:space="preserve">≤30 </w:t>
            </w:r>
          </w:p>
        </w:tc>
        <w:tc>
          <w:tcPr>
            <w:tcW w:w="1594" w:type="dxa"/>
            <w:shd w:val="clear" w:color="auto" w:fill="ECECEC"/>
            <w:hideMark/>
          </w:tcPr>
          <w:p w14:paraId="19883CFB"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≤30</w:t>
            </w:r>
          </w:p>
        </w:tc>
        <w:tc>
          <w:tcPr>
            <w:tcW w:w="1808" w:type="dxa"/>
            <w:shd w:val="clear" w:color="auto" w:fill="ECECEC"/>
            <w:hideMark/>
          </w:tcPr>
          <w:p w14:paraId="1A9839A9"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w:t>
            </w:r>
          </w:p>
        </w:tc>
      </w:tr>
      <w:tr w:rsidR="00015B71" w:rsidRPr="00015B71" w14:paraId="57751782" w14:textId="77777777" w:rsidTr="007F61A4">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67F4E640" w14:textId="77777777" w:rsidR="00015B71" w:rsidRPr="00015B71" w:rsidRDefault="00015B71" w:rsidP="00015B71">
            <w:pPr>
              <w:rPr>
                <w:rFonts w:cs="Arial"/>
                <w:i/>
                <w:sz w:val="20"/>
                <w:szCs w:val="20"/>
                <w:lang w:eastAsia="en-GB"/>
              </w:rPr>
            </w:pPr>
            <w:r w:rsidRPr="00015B71">
              <w:rPr>
                <w:rFonts w:cs="Arial"/>
                <w:iCs/>
                <w:sz w:val="20"/>
                <w:szCs w:val="20"/>
                <w:lang w:eastAsia="en-GB"/>
              </w:rPr>
              <w:t xml:space="preserve">Enteropathogenic </w:t>
            </w:r>
            <w:r w:rsidRPr="00015B71">
              <w:rPr>
                <w:rFonts w:cs="Arial"/>
                <w:i/>
                <w:sz w:val="20"/>
                <w:szCs w:val="20"/>
                <w:lang w:eastAsia="en-GB"/>
              </w:rPr>
              <w:t xml:space="preserve">E. coli </w:t>
            </w:r>
            <w:r w:rsidRPr="00015B71">
              <w:rPr>
                <w:rFonts w:cs="Arial"/>
                <w:sz w:val="20"/>
                <w:szCs w:val="20"/>
                <w:lang w:eastAsia="en-GB"/>
              </w:rPr>
              <w:t>(in 25 g)</w:t>
            </w:r>
          </w:p>
        </w:tc>
        <w:tc>
          <w:tcPr>
            <w:tcW w:w="1731" w:type="dxa"/>
            <w:shd w:val="clear" w:color="auto" w:fill="auto"/>
            <w:hideMark/>
          </w:tcPr>
          <w:p w14:paraId="3932115F"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Not detected</w:t>
            </w:r>
          </w:p>
        </w:tc>
        <w:tc>
          <w:tcPr>
            <w:tcW w:w="1671" w:type="dxa"/>
            <w:shd w:val="clear" w:color="auto" w:fill="auto"/>
            <w:hideMark/>
          </w:tcPr>
          <w:p w14:paraId="50D14779"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 xml:space="preserve">Absent </w:t>
            </w:r>
          </w:p>
        </w:tc>
        <w:tc>
          <w:tcPr>
            <w:tcW w:w="1594" w:type="dxa"/>
            <w:shd w:val="clear" w:color="auto" w:fill="auto"/>
            <w:hideMark/>
          </w:tcPr>
          <w:p w14:paraId="07AFBE42"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w:t>
            </w:r>
          </w:p>
        </w:tc>
        <w:tc>
          <w:tcPr>
            <w:tcW w:w="1808" w:type="dxa"/>
            <w:shd w:val="clear" w:color="auto" w:fill="auto"/>
            <w:hideMark/>
          </w:tcPr>
          <w:p w14:paraId="7C22A085"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w:t>
            </w:r>
          </w:p>
        </w:tc>
      </w:tr>
      <w:tr w:rsidR="00015B71" w:rsidRPr="00015B71" w14:paraId="5346D8AD" w14:textId="77777777" w:rsidTr="007F61A4">
        <w:tc>
          <w:tcPr>
            <w:cnfStyle w:val="001000000000" w:firstRow="0" w:lastRow="0" w:firstColumn="1" w:lastColumn="0" w:oddVBand="0" w:evenVBand="0" w:oddHBand="0" w:evenHBand="0" w:firstRowFirstColumn="0" w:firstRowLastColumn="0" w:lastRowFirstColumn="0" w:lastRowLastColumn="0"/>
            <w:tcW w:w="2268" w:type="dxa"/>
            <w:shd w:val="clear" w:color="auto" w:fill="F2F2F2" w:themeFill="background1" w:themeFillShade="F2"/>
            <w:hideMark/>
          </w:tcPr>
          <w:p w14:paraId="4213C68B" w14:textId="77777777" w:rsidR="00015B71" w:rsidRPr="00015B71" w:rsidRDefault="00015B71" w:rsidP="00015B71">
            <w:pPr>
              <w:rPr>
                <w:rFonts w:cs="Arial"/>
                <w:sz w:val="20"/>
                <w:szCs w:val="20"/>
                <w:lang w:eastAsia="en-GB"/>
              </w:rPr>
            </w:pPr>
            <w:r w:rsidRPr="00015B71">
              <w:rPr>
                <w:rFonts w:cs="Arial"/>
                <w:i/>
                <w:sz w:val="20"/>
                <w:szCs w:val="20"/>
                <w:lang w:eastAsia="en-GB"/>
              </w:rPr>
              <w:t>Salmonella</w:t>
            </w:r>
            <w:r w:rsidRPr="00015B71">
              <w:rPr>
                <w:rFonts w:cs="Arial"/>
                <w:sz w:val="20"/>
                <w:szCs w:val="20"/>
                <w:lang w:eastAsia="en-GB"/>
              </w:rPr>
              <w:t xml:space="preserve"> spp. (in 25 g)</w:t>
            </w:r>
          </w:p>
        </w:tc>
        <w:tc>
          <w:tcPr>
            <w:tcW w:w="1731" w:type="dxa"/>
            <w:shd w:val="clear" w:color="auto" w:fill="F2F2F2" w:themeFill="background1" w:themeFillShade="F2"/>
            <w:hideMark/>
          </w:tcPr>
          <w:p w14:paraId="0BB4A70E"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Not detected</w:t>
            </w:r>
          </w:p>
        </w:tc>
        <w:tc>
          <w:tcPr>
            <w:tcW w:w="1671" w:type="dxa"/>
            <w:shd w:val="clear" w:color="auto" w:fill="F2F2F2" w:themeFill="background1" w:themeFillShade="F2"/>
            <w:hideMark/>
          </w:tcPr>
          <w:p w14:paraId="2C796E6C"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Absent</w:t>
            </w:r>
          </w:p>
        </w:tc>
        <w:tc>
          <w:tcPr>
            <w:tcW w:w="1594" w:type="dxa"/>
            <w:shd w:val="clear" w:color="auto" w:fill="F2F2F2" w:themeFill="background1" w:themeFillShade="F2"/>
            <w:hideMark/>
          </w:tcPr>
          <w:p w14:paraId="498DF0C3"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Negative</w:t>
            </w:r>
          </w:p>
        </w:tc>
        <w:tc>
          <w:tcPr>
            <w:tcW w:w="1808" w:type="dxa"/>
            <w:shd w:val="clear" w:color="auto" w:fill="F2F2F2" w:themeFill="background1" w:themeFillShade="F2"/>
            <w:hideMark/>
          </w:tcPr>
          <w:p w14:paraId="655A4646"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w:t>
            </w:r>
          </w:p>
        </w:tc>
      </w:tr>
      <w:tr w:rsidR="00015B71" w:rsidRPr="00015B71" w14:paraId="4CDBC3FD" w14:textId="77777777" w:rsidTr="007F61A4">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5FF3383E" w14:textId="77777777" w:rsidR="00015B71" w:rsidRPr="00015B71" w:rsidRDefault="00015B71" w:rsidP="00015B71">
            <w:pPr>
              <w:rPr>
                <w:rFonts w:cs="Arial"/>
                <w:i/>
                <w:sz w:val="20"/>
                <w:szCs w:val="20"/>
                <w:lang w:eastAsia="en-GB"/>
              </w:rPr>
            </w:pPr>
            <w:r w:rsidRPr="00015B71">
              <w:rPr>
                <w:rFonts w:cs="Arial"/>
                <w:sz w:val="20"/>
                <w:szCs w:val="20"/>
                <w:lang w:eastAsia="en-GB"/>
              </w:rPr>
              <w:t xml:space="preserve">Antimicrobial activity </w:t>
            </w:r>
          </w:p>
        </w:tc>
        <w:tc>
          <w:tcPr>
            <w:tcW w:w="1731" w:type="dxa"/>
            <w:shd w:val="clear" w:color="auto" w:fill="auto"/>
            <w:vAlign w:val="center"/>
          </w:tcPr>
          <w:p w14:paraId="10C182BC"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Not detected</w:t>
            </w:r>
          </w:p>
        </w:tc>
        <w:tc>
          <w:tcPr>
            <w:tcW w:w="1671" w:type="dxa"/>
            <w:shd w:val="clear" w:color="auto" w:fill="auto"/>
            <w:vAlign w:val="center"/>
          </w:tcPr>
          <w:p w14:paraId="6AC12276"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Absent</w:t>
            </w:r>
          </w:p>
        </w:tc>
        <w:tc>
          <w:tcPr>
            <w:tcW w:w="1594" w:type="dxa"/>
            <w:shd w:val="clear" w:color="auto" w:fill="auto"/>
            <w:vAlign w:val="center"/>
          </w:tcPr>
          <w:p w14:paraId="0E54039A"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w:t>
            </w:r>
          </w:p>
        </w:tc>
        <w:tc>
          <w:tcPr>
            <w:tcW w:w="1808" w:type="dxa"/>
            <w:shd w:val="clear" w:color="auto" w:fill="auto"/>
            <w:vAlign w:val="center"/>
          </w:tcPr>
          <w:p w14:paraId="481AF2A7" w14:textId="77777777" w:rsidR="00015B71" w:rsidRPr="00015B71" w:rsidRDefault="00015B71" w:rsidP="00015B71">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15B71">
              <w:rPr>
                <w:rFonts w:cs="Arial"/>
                <w:sz w:val="20"/>
                <w:szCs w:val="20"/>
                <w:lang w:eastAsia="en-GB"/>
              </w:rPr>
              <w:t>-</w:t>
            </w:r>
          </w:p>
        </w:tc>
      </w:tr>
    </w:tbl>
    <w:p w14:paraId="25FA9A27" w14:textId="77777777" w:rsidR="00015B71" w:rsidRPr="00015B71" w:rsidRDefault="00015B71" w:rsidP="00015B71">
      <w:pPr>
        <w:rPr>
          <w:lang w:eastAsia="en-AU" w:bidi="ar-SA"/>
        </w:rPr>
      </w:pPr>
    </w:p>
    <w:p w14:paraId="3C502E89" w14:textId="5B150ABC" w:rsidR="0092277F" w:rsidRDefault="00015B71" w:rsidP="0092277F">
      <w:pPr>
        <w:rPr>
          <w:lang w:eastAsia="en-AU" w:bidi="ar-SA"/>
        </w:rPr>
      </w:pPr>
      <w:r w:rsidRPr="00015B71">
        <w:rPr>
          <w:lang w:eastAsia="en-AU" w:bidi="ar-SA"/>
        </w:rPr>
        <w:t xml:space="preserve">While the manufacturing process ensures the production microorganism, </w:t>
      </w:r>
      <w:r w:rsidRPr="00015B71">
        <w:rPr>
          <w:i/>
          <w:iCs/>
          <w:lang w:eastAsia="en-AU" w:bidi="ar-SA"/>
        </w:rPr>
        <w:t xml:space="preserve">T. </w:t>
      </w:r>
      <w:proofErr w:type="spellStart"/>
      <w:r w:rsidRPr="00015B71">
        <w:rPr>
          <w:i/>
          <w:iCs/>
          <w:lang w:eastAsia="en-AU" w:bidi="ar-SA"/>
        </w:rPr>
        <w:t>reesei</w:t>
      </w:r>
      <w:proofErr w:type="spellEnd"/>
      <w:r w:rsidRPr="00015B71">
        <w:rPr>
          <w:lang w:eastAsia="en-AU" w:bidi="ar-SA"/>
        </w:rPr>
        <w:t xml:space="preserve"> is absent from the final enzyme preparation, </w:t>
      </w:r>
      <w:r w:rsidRPr="00015B71">
        <w:rPr>
          <w:lang w:eastAsia="en-AU"/>
        </w:rPr>
        <w:t xml:space="preserve">the food enzyme is a biological isolate of variable composition, containing the enzyme protein, as well as organic and inorganic material derived from the microorganism and fermentation process. Refer to section </w:t>
      </w:r>
      <w:r w:rsidR="00BF41DD">
        <w:rPr>
          <w:lang w:eastAsia="en-AU"/>
        </w:rPr>
        <w:t>2.3</w:t>
      </w:r>
      <w:r w:rsidRPr="00015B71">
        <w:rPr>
          <w:lang w:eastAsia="en-AU"/>
        </w:rPr>
        <w:t xml:space="preserve"> for the total organic solids (TOS) value.</w:t>
      </w:r>
    </w:p>
    <w:p w14:paraId="48BCF70B" w14:textId="66023C81" w:rsidR="0092277F" w:rsidRDefault="00F80FA0" w:rsidP="00642A92">
      <w:pPr>
        <w:pStyle w:val="Heading2"/>
        <w:rPr>
          <w:lang w:eastAsia="en-AU"/>
        </w:rPr>
      </w:pPr>
      <w:bookmarkStart w:id="16" w:name="_Toc121322357"/>
      <w:r>
        <w:rPr>
          <w:lang w:eastAsia="en-AU"/>
        </w:rPr>
        <w:t>2.3 Technological purpose of the enzyme</w:t>
      </w:r>
      <w:bookmarkEnd w:id="16"/>
    </w:p>
    <w:p w14:paraId="11F8F500" w14:textId="4613D339" w:rsidR="00C56E9E" w:rsidRDefault="00EC046C" w:rsidP="007B6EF9">
      <w:pPr>
        <w:spacing w:after="240"/>
        <w:rPr>
          <w:lang w:bidi="ar-SA"/>
        </w:rPr>
      </w:pPr>
      <w:r>
        <w:rPr>
          <w:lang w:eastAsia="en-AU" w:bidi="ar-SA"/>
        </w:rPr>
        <w:t xml:space="preserve">Endo-1,4-beta-xylanase </w:t>
      </w:r>
      <w:r w:rsidR="0055734C">
        <w:rPr>
          <w:lang w:eastAsia="en-AU" w:bidi="ar-SA"/>
        </w:rPr>
        <w:t xml:space="preserve">is intended for use in </w:t>
      </w:r>
      <w:r w:rsidR="006531F7" w:rsidRPr="00DE3834">
        <w:t xml:space="preserve">brewing, fats and oils processing, </w:t>
      </w:r>
      <w:r w:rsidR="00A837A2">
        <w:t xml:space="preserve">grain processing </w:t>
      </w:r>
      <w:r w:rsidR="006531F7" w:rsidRPr="00DE3834">
        <w:t>and potable alcohol production</w:t>
      </w:r>
      <w:r w:rsidR="005F2C33" w:rsidRPr="00020DEB">
        <w:rPr>
          <w:lang w:bidi="ar-SA"/>
        </w:rPr>
        <w:t>.</w:t>
      </w:r>
    </w:p>
    <w:p w14:paraId="64562D6F" w14:textId="61560731" w:rsidR="006F09B1" w:rsidRDefault="00C56E9E" w:rsidP="007B6EF9">
      <w:pPr>
        <w:spacing w:after="240"/>
        <w:rPr>
          <w:lang w:eastAsia="en-AU" w:bidi="ar-SA"/>
        </w:rPr>
      </w:pPr>
      <w:r w:rsidRPr="005E7B17">
        <w:lastRenderedPageBreak/>
        <w:t xml:space="preserve">The enzyme performs its technological function by </w:t>
      </w:r>
      <w:r w:rsidR="001E7802" w:rsidRPr="005E7B17">
        <w:t xml:space="preserve">hydrolysing </w:t>
      </w:r>
      <w:proofErr w:type="spellStart"/>
      <w:r w:rsidR="00027FC9" w:rsidRPr="005E7B17">
        <w:t>xylosidic</w:t>
      </w:r>
      <w:proofErr w:type="spellEnd"/>
      <w:r w:rsidR="00027FC9" w:rsidRPr="005E7B17">
        <w:t xml:space="preserve"> linkages in </w:t>
      </w:r>
      <w:proofErr w:type="spellStart"/>
      <w:r w:rsidR="00027FC9" w:rsidRPr="005E7B17">
        <w:t>xylans</w:t>
      </w:r>
      <w:proofErr w:type="spellEnd"/>
      <w:r w:rsidR="00027FC9" w:rsidRPr="005E7B17">
        <w:t xml:space="preserve">, </w:t>
      </w:r>
      <w:r w:rsidR="005E7B17" w:rsidRPr="005E7B17">
        <w:t>including arabinoxylan</w:t>
      </w:r>
      <w:r w:rsidR="0025368F">
        <w:t xml:space="preserve"> present in grains</w:t>
      </w:r>
      <w:r w:rsidR="00AC3D6B">
        <w:t xml:space="preserve"> for further processing</w:t>
      </w:r>
      <w:r w:rsidR="003A5E1B">
        <w:t xml:space="preserve"> to produce a range of products including gluten, starch, potable alcohol, beer, fats and </w:t>
      </w:r>
      <w:r w:rsidR="00BE6819">
        <w:t>oils</w:t>
      </w:r>
      <w:r w:rsidR="005E7B17" w:rsidRPr="005E7B17">
        <w:t>.</w:t>
      </w:r>
      <w:r w:rsidR="00E7415F">
        <w:t xml:space="preserve"> </w:t>
      </w:r>
      <w:r w:rsidR="004D27DD">
        <w:t xml:space="preserve">Hemicellulose is a complex mixture of polysaccharides of which </w:t>
      </w:r>
      <w:proofErr w:type="spellStart"/>
      <w:r w:rsidR="004D27DD">
        <w:t>xylans</w:t>
      </w:r>
      <w:proofErr w:type="spellEnd"/>
      <w:r w:rsidR="004D27DD">
        <w:t xml:space="preserve"> are the main </w:t>
      </w:r>
      <w:r w:rsidR="00D70E40">
        <w:t>component</w:t>
      </w:r>
      <w:r w:rsidR="004D27DD">
        <w:t xml:space="preserve"> (</w:t>
      </w:r>
      <w:proofErr w:type="spellStart"/>
      <w:r w:rsidR="004D27DD">
        <w:t>Saha</w:t>
      </w:r>
      <w:proofErr w:type="spellEnd"/>
      <w:r w:rsidR="004D27DD">
        <w:t xml:space="preserve"> 2000)</w:t>
      </w:r>
      <w:r w:rsidR="00D55228">
        <w:t xml:space="preserve">. </w:t>
      </w:r>
      <w:r w:rsidR="004F7D7C">
        <w:t>Given the comple</w:t>
      </w:r>
      <w:r w:rsidR="00F04BD3">
        <w:t xml:space="preserve">xity of its structure and </w:t>
      </w:r>
      <w:r w:rsidR="004D27DD">
        <w:t xml:space="preserve">the types of </w:t>
      </w:r>
      <w:r w:rsidR="00F04BD3">
        <w:t>glycosid</w:t>
      </w:r>
      <w:r w:rsidR="004D27DD">
        <w:t>ic</w:t>
      </w:r>
      <w:r w:rsidR="00F04BD3">
        <w:t xml:space="preserve"> linkages</w:t>
      </w:r>
      <w:r w:rsidR="004D27DD">
        <w:t>,</w:t>
      </w:r>
      <w:r w:rsidR="00F04BD3">
        <w:t xml:space="preserve"> c</w:t>
      </w:r>
      <w:r w:rsidR="004971A5">
        <w:t xml:space="preserve">omplete hydrolysis of </w:t>
      </w:r>
      <w:proofErr w:type="spellStart"/>
      <w:r w:rsidR="004971A5">
        <w:t>xylan</w:t>
      </w:r>
      <w:proofErr w:type="spellEnd"/>
      <w:r w:rsidR="00C96B3A">
        <w:t xml:space="preserve"> requires </w:t>
      </w:r>
      <w:r w:rsidR="00BE6819">
        <w:t>what is termed ‘</w:t>
      </w:r>
      <w:r w:rsidR="003A5E1B">
        <w:t xml:space="preserve">accessory </w:t>
      </w:r>
      <w:r w:rsidR="00C96B3A">
        <w:t>enzymes</w:t>
      </w:r>
      <w:r w:rsidR="00BE6819">
        <w:t>’</w:t>
      </w:r>
      <w:r w:rsidR="00C96B3A">
        <w:t xml:space="preserve"> </w:t>
      </w:r>
      <w:r w:rsidR="00BE6819">
        <w:rPr>
          <w:lang w:eastAsia="en-AU" w:bidi="ar-SA"/>
        </w:rPr>
        <w:t xml:space="preserve">- </w:t>
      </w:r>
      <w:r w:rsidR="00D62418">
        <w:t>β</w:t>
      </w:r>
      <w:r w:rsidR="00D62418" w:rsidRPr="000E7DE4">
        <w:t>-</w:t>
      </w:r>
      <w:r w:rsidR="00D62418">
        <w:t>D-</w:t>
      </w:r>
      <w:proofErr w:type="spellStart"/>
      <w:r w:rsidR="00D62418">
        <w:t>xylosidases</w:t>
      </w:r>
      <w:proofErr w:type="spellEnd"/>
      <w:r w:rsidR="00356D7B">
        <w:t xml:space="preserve">, </w:t>
      </w:r>
      <w:r w:rsidR="00356D7B">
        <w:rPr>
          <w:rFonts w:cs="Arial"/>
        </w:rPr>
        <w:t>α</w:t>
      </w:r>
      <w:r w:rsidR="00356D7B">
        <w:t>-L-</w:t>
      </w:r>
      <w:proofErr w:type="spellStart"/>
      <w:r w:rsidR="00356D7B">
        <w:t>arabinofuranosidase</w:t>
      </w:r>
      <w:proofErr w:type="spellEnd"/>
      <w:r w:rsidR="00356D7B">
        <w:t xml:space="preserve">, </w:t>
      </w:r>
      <w:r w:rsidR="00356D7B">
        <w:rPr>
          <w:rFonts w:cs="Arial"/>
        </w:rPr>
        <w:t>α</w:t>
      </w:r>
      <w:r w:rsidR="00EE430D">
        <w:rPr>
          <w:rFonts w:cs="Arial"/>
        </w:rPr>
        <w:t>-</w:t>
      </w:r>
      <w:proofErr w:type="spellStart"/>
      <w:r w:rsidR="00EE430D">
        <w:rPr>
          <w:rFonts w:cs="Arial"/>
        </w:rPr>
        <w:t>glucoronidase</w:t>
      </w:r>
      <w:proofErr w:type="spellEnd"/>
      <w:r w:rsidR="00EE430D">
        <w:rPr>
          <w:rFonts w:cs="Arial"/>
        </w:rPr>
        <w:t xml:space="preserve"> and </w:t>
      </w:r>
      <w:proofErr w:type="spellStart"/>
      <w:r w:rsidR="00EE430D">
        <w:rPr>
          <w:rFonts w:cs="Arial"/>
        </w:rPr>
        <w:t>esterases</w:t>
      </w:r>
      <w:proofErr w:type="spellEnd"/>
      <w:r w:rsidR="00EE430D">
        <w:rPr>
          <w:rFonts w:cs="Arial"/>
        </w:rPr>
        <w:t xml:space="preserve"> (</w:t>
      </w:r>
      <w:proofErr w:type="spellStart"/>
      <w:r w:rsidR="004D27DD">
        <w:rPr>
          <w:rFonts w:cs="Arial"/>
        </w:rPr>
        <w:t>Saha</w:t>
      </w:r>
      <w:proofErr w:type="spellEnd"/>
      <w:r w:rsidR="004D27DD">
        <w:rPr>
          <w:rFonts w:cs="Arial"/>
        </w:rPr>
        <w:t xml:space="preserve"> 2000</w:t>
      </w:r>
      <w:r w:rsidR="00E57479">
        <w:rPr>
          <w:rFonts w:cs="Arial"/>
        </w:rPr>
        <w:t>;</w:t>
      </w:r>
      <w:r w:rsidR="004D27DD">
        <w:rPr>
          <w:rFonts w:cs="Arial"/>
        </w:rPr>
        <w:t xml:space="preserve"> </w:t>
      </w:r>
      <w:r w:rsidR="000F5E4D">
        <w:rPr>
          <w:rFonts w:cs="Arial"/>
        </w:rPr>
        <w:t>Yeoma</w:t>
      </w:r>
      <w:r w:rsidR="00A36D75">
        <w:rPr>
          <w:rFonts w:cs="Arial"/>
        </w:rPr>
        <w:t xml:space="preserve">n </w:t>
      </w:r>
      <w:r w:rsidR="001F49E7">
        <w:t xml:space="preserve">2010). </w:t>
      </w:r>
    </w:p>
    <w:p w14:paraId="6B59746E" w14:textId="3CD10CAD" w:rsidR="006F09B1" w:rsidRPr="0055734C" w:rsidRDefault="575F5C5A" w:rsidP="007B6EF9">
      <w:pPr>
        <w:spacing w:after="240"/>
        <w:rPr>
          <w:lang w:eastAsia="en-AU" w:bidi="ar-SA"/>
        </w:rPr>
      </w:pPr>
      <w:r w:rsidRPr="058F45AF">
        <w:rPr>
          <w:lang w:eastAsia="en-AU" w:bidi="ar-SA"/>
        </w:rPr>
        <w:t>Information</w:t>
      </w:r>
      <w:r w:rsidR="006F09B1" w:rsidRPr="058F45AF">
        <w:rPr>
          <w:lang w:eastAsia="en-AU" w:bidi="ar-SA"/>
        </w:rPr>
        <w:t xml:space="preserve"> provided </w:t>
      </w:r>
      <w:r w:rsidR="02D540AF" w:rsidRPr="058F45AF">
        <w:rPr>
          <w:lang w:eastAsia="en-AU" w:bidi="ar-SA"/>
        </w:rPr>
        <w:t xml:space="preserve">by Novozymes </w:t>
      </w:r>
      <w:r w:rsidR="006F09B1" w:rsidRPr="058F45AF">
        <w:rPr>
          <w:lang w:eastAsia="en-AU" w:bidi="ar-SA"/>
        </w:rPr>
        <w:t xml:space="preserve"> on the physical and chemical properties of their enzyme preparation  is summarised in Table 3.</w:t>
      </w:r>
    </w:p>
    <w:p w14:paraId="423A74B7" w14:textId="0040E3C6" w:rsidR="00F80FA0" w:rsidRPr="00C27302" w:rsidRDefault="00F80FA0" w:rsidP="00C27302">
      <w:pPr>
        <w:pStyle w:val="FSFigureTitle"/>
      </w:pPr>
      <w:r w:rsidRPr="00C27302">
        <w:t>Table 3</w:t>
      </w:r>
      <w:r w:rsidR="00057394" w:rsidRPr="00C27302">
        <w:tab/>
      </w:r>
      <w:r w:rsidR="00F60EEB" w:rsidRPr="00C27302">
        <w:t xml:space="preserve">Physical and chemical properties of the </w:t>
      </w:r>
      <w:r w:rsidR="00EC046C" w:rsidRPr="00C27302">
        <w:t xml:space="preserve">endo-1,4-beta-xylanase </w:t>
      </w:r>
      <w:r w:rsidR="00F60EEB" w:rsidRPr="00C27302">
        <w:t>preparation</w:t>
      </w:r>
    </w:p>
    <w:tbl>
      <w:tblPr>
        <w:tblStyle w:val="Table"/>
        <w:tblW w:w="9498" w:type="dxa"/>
        <w:tblLayout w:type="fixed"/>
        <w:tblLook w:val="04A0" w:firstRow="1" w:lastRow="0" w:firstColumn="1" w:lastColumn="0" w:noHBand="0" w:noVBand="1"/>
        <w:tblCaption w:val="Table 3"/>
        <w:tblDescription w:val="Endo-1,4-beta-xylanase enzyme preparation physical/chemical properties"/>
      </w:tblPr>
      <w:tblGrid>
        <w:gridCol w:w="2943"/>
        <w:gridCol w:w="6555"/>
      </w:tblGrid>
      <w:tr w:rsidR="00F60EEB" w:rsidRPr="00F60EEB" w14:paraId="55A80869" w14:textId="77777777" w:rsidTr="007F61A4">
        <w:trPr>
          <w:cnfStyle w:val="100000000000" w:firstRow="1" w:lastRow="0" w:firstColumn="0" w:lastColumn="0" w:oddVBand="0" w:evenVBand="0" w:oddHBand="0" w:evenHBand="0" w:firstRowFirstColumn="0" w:firstRowLastColumn="0" w:lastRowFirstColumn="0" w:lastRowLastColumn="0"/>
          <w:trHeight w:val="108"/>
          <w:tblHeader/>
        </w:trPr>
        <w:tc>
          <w:tcPr>
            <w:tcW w:w="9498" w:type="dxa"/>
            <w:gridSpan w:val="2"/>
            <w:tcBorders>
              <w:top w:val="nil"/>
              <w:left w:val="nil"/>
              <w:bottom w:val="nil"/>
              <w:right w:val="nil"/>
            </w:tcBorders>
            <w:shd w:val="clear" w:color="auto" w:fill="7F7F7F" w:themeFill="text1" w:themeFillTint="80"/>
            <w:hideMark/>
          </w:tcPr>
          <w:p w14:paraId="35BE03E4" w14:textId="77777777" w:rsidR="00F60EEB" w:rsidRPr="00F60EEB" w:rsidRDefault="00F60EEB" w:rsidP="00F60EEB">
            <w:pPr>
              <w:widowControl/>
              <w:jc w:val="center"/>
              <w:rPr>
                <w:color w:val="FFFFFF"/>
                <w:sz w:val="20"/>
                <w:highlight w:val="yellow"/>
                <w:lang w:eastAsia="en-GB"/>
              </w:rPr>
            </w:pPr>
            <w:r w:rsidRPr="00F60EEB">
              <w:rPr>
                <w:color w:val="FFFFFF"/>
                <w:sz w:val="20"/>
                <w:lang w:eastAsia="en-GB"/>
              </w:rPr>
              <w:t>Physical and chemical properties of commercial enzyme preparation</w:t>
            </w:r>
          </w:p>
        </w:tc>
      </w:tr>
      <w:tr w:rsidR="00F60EEB" w:rsidRPr="00F60EEB" w14:paraId="5A67D9D4" w14:textId="77777777" w:rsidTr="007F61A4">
        <w:trPr>
          <w:cnfStyle w:val="000000100000" w:firstRow="0" w:lastRow="0" w:firstColumn="0" w:lastColumn="0" w:oddVBand="0" w:evenVBand="0" w:oddHBand="1" w:evenHBand="0" w:firstRowFirstColumn="0" w:firstRowLastColumn="0" w:lastRowFirstColumn="0" w:lastRowLastColumn="0"/>
          <w:trHeight w:val="465"/>
        </w:trPr>
        <w:tc>
          <w:tcPr>
            <w:tcW w:w="2943" w:type="dxa"/>
            <w:tcBorders>
              <w:top w:val="nil"/>
              <w:left w:val="nil"/>
              <w:bottom w:val="nil"/>
              <w:right w:val="nil"/>
            </w:tcBorders>
            <w:hideMark/>
          </w:tcPr>
          <w:p w14:paraId="2A578208" w14:textId="77777777" w:rsidR="00F60EEB" w:rsidRPr="00F60EEB" w:rsidRDefault="00F60EEB" w:rsidP="00F60EEB">
            <w:pPr>
              <w:widowControl/>
              <w:autoSpaceDE w:val="0"/>
              <w:autoSpaceDN w:val="0"/>
              <w:adjustRightInd w:val="0"/>
              <w:rPr>
                <w:sz w:val="20"/>
                <w:szCs w:val="20"/>
              </w:rPr>
            </w:pPr>
            <w:r w:rsidRPr="00F60EEB">
              <w:rPr>
                <w:sz w:val="20"/>
                <w:szCs w:val="20"/>
              </w:rPr>
              <w:t>Enzyme activity</w:t>
            </w:r>
          </w:p>
        </w:tc>
        <w:tc>
          <w:tcPr>
            <w:tcW w:w="6555" w:type="dxa"/>
            <w:tcBorders>
              <w:top w:val="nil"/>
              <w:left w:val="nil"/>
              <w:bottom w:val="nil"/>
              <w:right w:val="nil"/>
            </w:tcBorders>
            <w:hideMark/>
          </w:tcPr>
          <w:p w14:paraId="7A24373B" w14:textId="706C89A4" w:rsidR="00F60EEB" w:rsidRPr="00F60EEB" w:rsidRDefault="00F60EEB" w:rsidP="00F60EEB">
            <w:pPr>
              <w:widowControl/>
              <w:autoSpaceDE w:val="0"/>
              <w:autoSpaceDN w:val="0"/>
              <w:adjustRightInd w:val="0"/>
              <w:rPr>
                <w:sz w:val="20"/>
                <w:szCs w:val="20"/>
              </w:rPr>
            </w:pPr>
            <w:r w:rsidRPr="00F60EEB">
              <w:rPr>
                <w:sz w:val="20"/>
                <w:szCs w:val="20"/>
              </w:rPr>
              <w:t>1</w:t>
            </w:r>
            <w:r w:rsidR="00C1707F">
              <w:rPr>
                <w:sz w:val="20"/>
                <w:szCs w:val="20"/>
              </w:rPr>
              <w:t>500</w:t>
            </w:r>
            <w:r w:rsidRPr="00F60EEB">
              <w:rPr>
                <w:sz w:val="20"/>
                <w:szCs w:val="20"/>
              </w:rPr>
              <w:t xml:space="preserve"> </w:t>
            </w:r>
            <w:r w:rsidR="00412E7B">
              <w:rPr>
                <w:sz w:val="20"/>
                <w:szCs w:val="20"/>
              </w:rPr>
              <w:t>*</w:t>
            </w:r>
            <w:r w:rsidR="00F90C7A">
              <w:rPr>
                <w:sz w:val="20"/>
                <w:szCs w:val="20"/>
              </w:rPr>
              <w:t>F</w:t>
            </w:r>
            <w:r w:rsidRPr="00F60EEB">
              <w:rPr>
                <w:sz w:val="20"/>
                <w:szCs w:val="20"/>
              </w:rPr>
              <w:t>XU(</w:t>
            </w:r>
            <w:r w:rsidR="00F90C7A">
              <w:rPr>
                <w:sz w:val="20"/>
                <w:szCs w:val="20"/>
              </w:rPr>
              <w:t>S</w:t>
            </w:r>
            <w:r w:rsidRPr="00F60EEB">
              <w:rPr>
                <w:sz w:val="20"/>
                <w:szCs w:val="20"/>
              </w:rPr>
              <w:t>)/g</w:t>
            </w:r>
          </w:p>
        </w:tc>
      </w:tr>
      <w:tr w:rsidR="00F60EEB" w:rsidRPr="00F60EEB" w14:paraId="22012E24" w14:textId="77777777" w:rsidTr="007F61A4">
        <w:trPr>
          <w:cnfStyle w:val="000000010000" w:firstRow="0" w:lastRow="0" w:firstColumn="0" w:lastColumn="0" w:oddVBand="0" w:evenVBand="0" w:oddHBand="0" w:evenHBand="1" w:firstRowFirstColumn="0" w:firstRowLastColumn="0" w:lastRowFirstColumn="0" w:lastRowLastColumn="0"/>
          <w:trHeight w:val="465"/>
        </w:trPr>
        <w:tc>
          <w:tcPr>
            <w:tcW w:w="2943" w:type="dxa"/>
            <w:tcBorders>
              <w:top w:val="nil"/>
              <w:left w:val="nil"/>
              <w:bottom w:val="nil"/>
              <w:right w:val="nil"/>
            </w:tcBorders>
            <w:hideMark/>
          </w:tcPr>
          <w:p w14:paraId="5D1C7C8B" w14:textId="77777777" w:rsidR="00F60EEB" w:rsidRPr="00F60EEB" w:rsidRDefault="00F60EEB" w:rsidP="00F60EEB">
            <w:pPr>
              <w:widowControl/>
              <w:autoSpaceDE w:val="0"/>
              <w:autoSpaceDN w:val="0"/>
              <w:adjustRightInd w:val="0"/>
              <w:rPr>
                <w:sz w:val="20"/>
                <w:szCs w:val="20"/>
              </w:rPr>
            </w:pPr>
            <w:r w:rsidRPr="00F60EEB">
              <w:rPr>
                <w:sz w:val="20"/>
                <w:szCs w:val="20"/>
              </w:rPr>
              <w:t>Appearance</w:t>
            </w:r>
          </w:p>
        </w:tc>
        <w:tc>
          <w:tcPr>
            <w:tcW w:w="6555" w:type="dxa"/>
            <w:tcBorders>
              <w:top w:val="nil"/>
              <w:left w:val="nil"/>
              <w:bottom w:val="nil"/>
              <w:right w:val="nil"/>
            </w:tcBorders>
            <w:hideMark/>
          </w:tcPr>
          <w:p w14:paraId="28E2DB3B" w14:textId="77777777" w:rsidR="00F60EEB" w:rsidRPr="00F60EEB" w:rsidRDefault="00F60EEB" w:rsidP="00F60EEB">
            <w:pPr>
              <w:widowControl/>
              <w:autoSpaceDE w:val="0"/>
              <w:autoSpaceDN w:val="0"/>
              <w:adjustRightInd w:val="0"/>
              <w:rPr>
                <w:sz w:val="20"/>
                <w:szCs w:val="20"/>
              </w:rPr>
            </w:pPr>
            <w:r w:rsidRPr="00F60EEB">
              <w:rPr>
                <w:sz w:val="20"/>
                <w:szCs w:val="20"/>
              </w:rPr>
              <w:t>Amber coloured liquid</w:t>
            </w:r>
          </w:p>
        </w:tc>
      </w:tr>
      <w:tr w:rsidR="00F60EEB" w:rsidRPr="00F60EEB" w14:paraId="1DF85BE6" w14:textId="77777777" w:rsidTr="007F61A4">
        <w:trPr>
          <w:cnfStyle w:val="000000100000" w:firstRow="0" w:lastRow="0" w:firstColumn="0" w:lastColumn="0" w:oddVBand="0" w:evenVBand="0" w:oddHBand="1" w:evenHBand="0" w:firstRowFirstColumn="0" w:firstRowLastColumn="0" w:lastRowFirstColumn="0" w:lastRowLastColumn="0"/>
          <w:trHeight w:val="465"/>
        </w:trPr>
        <w:tc>
          <w:tcPr>
            <w:tcW w:w="2943" w:type="dxa"/>
            <w:tcBorders>
              <w:top w:val="nil"/>
              <w:left w:val="nil"/>
              <w:bottom w:val="nil"/>
              <w:right w:val="nil"/>
            </w:tcBorders>
            <w:hideMark/>
          </w:tcPr>
          <w:p w14:paraId="2253EE67" w14:textId="77777777" w:rsidR="00F60EEB" w:rsidRPr="00F60EEB" w:rsidRDefault="00F60EEB" w:rsidP="00F60EEB">
            <w:pPr>
              <w:widowControl/>
              <w:autoSpaceDE w:val="0"/>
              <w:autoSpaceDN w:val="0"/>
              <w:adjustRightInd w:val="0"/>
              <w:rPr>
                <w:sz w:val="20"/>
                <w:szCs w:val="20"/>
              </w:rPr>
            </w:pPr>
            <w:r w:rsidRPr="00F60EEB">
              <w:rPr>
                <w:sz w:val="20"/>
                <w:szCs w:val="20"/>
              </w:rPr>
              <w:t>Storage conditions</w:t>
            </w:r>
          </w:p>
        </w:tc>
        <w:tc>
          <w:tcPr>
            <w:tcW w:w="6555" w:type="dxa"/>
            <w:tcBorders>
              <w:top w:val="nil"/>
              <w:left w:val="nil"/>
              <w:bottom w:val="nil"/>
              <w:right w:val="nil"/>
            </w:tcBorders>
            <w:hideMark/>
          </w:tcPr>
          <w:p w14:paraId="08ED984C" w14:textId="2097B2C8" w:rsidR="00F60EEB" w:rsidRPr="00F60EEB" w:rsidRDefault="00F60EEB" w:rsidP="00F60EEB">
            <w:pPr>
              <w:widowControl/>
              <w:autoSpaceDE w:val="0"/>
              <w:autoSpaceDN w:val="0"/>
              <w:adjustRightInd w:val="0"/>
              <w:rPr>
                <w:sz w:val="20"/>
                <w:szCs w:val="20"/>
              </w:rPr>
            </w:pPr>
            <w:r w:rsidRPr="00F60EEB">
              <w:rPr>
                <w:sz w:val="20"/>
                <w:szCs w:val="20"/>
              </w:rPr>
              <w:t>0–</w:t>
            </w:r>
            <w:r w:rsidR="00A10B68">
              <w:rPr>
                <w:sz w:val="20"/>
                <w:szCs w:val="20"/>
              </w:rPr>
              <w:t>25</w:t>
            </w:r>
            <w:r w:rsidRPr="00F60EEB">
              <w:rPr>
                <w:sz w:val="20"/>
                <w:szCs w:val="20"/>
              </w:rPr>
              <w:t>°C</w:t>
            </w:r>
          </w:p>
        </w:tc>
      </w:tr>
      <w:tr w:rsidR="00F60EEB" w:rsidRPr="00F60EEB" w14:paraId="54EB89B4" w14:textId="77777777" w:rsidTr="007F61A4">
        <w:trPr>
          <w:cnfStyle w:val="000000010000" w:firstRow="0" w:lastRow="0" w:firstColumn="0" w:lastColumn="0" w:oddVBand="0" w:evenVBand="0" w:oddHBand="0" w:evenHBand="1" w:firstRowFirstColumn="0" w:firstRowLastColumn="0" w:lastRowFirstColumn="0" w:lastRowLastColumn="0"/>
          <w:trHeight w:val="465"/>
        </w:trPr>
        <w:tc>
          <w:tcPr>
            <w:tcW w:w="2943" w:type="dxa"/>
            <w:tcBorders>
              <w:top w:val="nil"/>
              <w:left w:val="nil"/>
              <w:bottom w:val="nil"/>
              <w:right w:val="nil"/>
            </w:tcBorders>
          </w:tcPr>
          <w:p w14:paraId="5BEA5A8C" w14:textId="77777777" w:rsidR="00F60EEB" w:rsidRPr="00F60EEB" w:rsidRDefault="00F60EEB" w:rsidP="00F60EEB">
            <w:pPr>
              <w:widowControl/>
              <w:autoSpaceDE w:val="0"/>
              <w:autoSpaceDN w:val="0"/>
              <w:adjustRightInd w:val="0"/>
              <w:rPr>
                <w:sz w:val="20"/>
                <w:szCs w:val="20"/>
              </w:rPr>
            </w:pPr>
            <w:r w:rsidRPr="00F60EEB">
              <w:rPr>
                <w:sz w:val="20"/>
                <w:szCs w:val="20"/>
              </w:rPr>
              <w:t>Density</w:t>
            </w:r>
          </w:p>
        </w:tc>
        <w:tc>
          <w:tcPr>
            <w:tcW w:w="6555" w:type="dxa"/>
            <w:tcBorders>
              <w:top w:val="nil"/>
              <w:left w:val="nil"/>
              <w:bottom w:val="nil"/>
              <w:right w:val="nil"/>
            </w:tcBorders>
          </w:tcPr>
          <w:p w14:paraId="48A09E73" w14:textId="7E0A53DF" w:rsidR="00F60EEB" w:rsidRPr="00F60EEB" w:rsidRDefault="00F60EEB" w:rsidP="00F60EEB">
            <w:pPr>
              <w:widowControl/>
              <w:autoSpaceDE w:val="0"/>
              <w:autoSpaceDN w:val="0"/>
              <w:adjustRightInd w:val="0"/>
              <w:rPr>
                <w:sz w:val="20"/>
                <w:szCs w:val="20"/>
              </w:rPr>
            </w:pPr>
            <w:r w:rsidRPr="00F60EEB">
              <w:rPr>
                <w:sz w:val="20"/>
                <w:szCs w:val="20"/>
              </w:rPr>
              <w:t>1.2</w:t>
            </w:r>
            <w:r w:rsidR="00A10B68">
              <w:rPr>
                <w:sz w:val="20"/>
                <w:szCs w:val="20"/>
              </w:rPr>
              <w:t>4</w:t>
            </w:r>
            <w:r w:rsidRPr="00F60EEB">
              <w:rPr>
                <w:sz w:val="20"/>
                <w:szCs w:val="20"/>
              </w:rPr>
              <w:t xml:space="preserve"> g/mL</w:t>
            </w:r>
          </w:p>
        </w:tc>
      </w:tr>
      <w:tr w:rsidR="00F60EEB" w:rsidRPr="00F60EEB" w14:paraId="2E9EFBE2" w14:textId="77777777" w:rsidTr="007F61A4">
        <w:trPr>
          <w:cnfStyle w:val="000000100000" w:firstRow="0" w:lastRow="0" w:firstColumn="0" w:lastColumn="0" w:oddVBand="0" w:evenVBand="0" w:oddHBand="1" w:evenHBand="0" w:firstRowFirstColumn="0" w:firstRowLastColumn="0" w:lastRowFirstColumn="0" w:lastRowLastColumn="0"/>
          <w:trHeight w:val="465"/>
        </w:trPr>
        <w:tc>
          <w:tcPr>
            <w:tcW w:w="2943" w:type="dxa"/>
            <w:tcBorders>
              <w:top w:val="nil"/>
              <w:left w:val="nil"/>
              <w:bottom w:val="single" w:sz="4" w:space="0" w:color="F3F3F3"/>
              <w:right w:val="nil"/>
            </w:tcBorders>
          </w:tcPr>
          <w:p w14:paraId="6B0E95C1" w14:textId="77777777" w:rsidR="00F60EEB" w:rsidRPr="00F60EEB" w:rsidRDefault="00F60EEB" w:rsidP="00F60EEB">
            <w:pPr>
              <w:widowControl/>
              <w:autoSpaceDE w:val="0"/>
              <w:autoSpaceDN w:val="0"/>
              <w:adjustRightInd w:val="0"/>
              <w:rPr>
                <w:sz w:val="20"/>
                <w:szCs w:val="20"/>
              </w:rPr>
            </w:pPr>
            <w:r w:rsidRPr="00F60EEB">
              <w:rPr>
                <w:sz w:val="20"/>
                <w:szCs w:val="20"/>
              </w:rPr>
              <w:t>Viscosity</w:t>
            </w:r>
          </w:p>
        </w:tc>
        <w:tc>
          <w:tcPr>
            <w:tcW w:w="6555" w:type="dxa"/>
            <w:tcBorders>
              <w:top w:val="nil"/>
              <w:left w:val="nil"/>
              <w:bottom w:val="single" w:sz="4" w:space="0" w:color="F3F3F3"/>
              <w:right w:val="nil"/>
            </w:tcBorders>
          </w:tcPr>
          <w:p w14:paraId="29940560" w14:textId="77777777" w:rsidR="00F60EEB" w:rsidRPr="00F60EEB" w:rsidRDefault="00F60EEB" w:rsidP="00F60EEB">
            <w:pPr>
              <w:widowControl/>
              <w:autoSpaceDE w:val="0"/>
              <w:autoSpaceDN w:val="0"/>
              <w:adjustRightInd w:val="0"/>
              <w:rPr>
                <w:sz w:val="20"/>
                <w:szCs w:val="20"/>
              </w:rPr>
            </w:pPr>
            <w:r w:rsidRPr="00F60EEB">
              <w:rPr>
                <w:sz w:val="20"/>
                <w:szCs w:val="20"/>
              </w:rPr>
              <w:t>1-25 cps</w:t>
            </w:r>
          </w:p>
        </w:tc>
      </w:tr>
    </w:tbl>
    <w:p w14:paraId="71695D48" w14:textId="68F53604" w:rsidR="00F80FA0" w:rsidRPr="007B6EF9" w:rsidRDefault="00412E7B" w:rsidP="007B6EF9">
      <w:pPr>
        <w:pStyle w:val="FootnoteText"/>
        <w:spacing w:after="240"/>
        <w:rPr>
          <w:i/>
          <w:lang w:val="en-AU"/>
        </w:rPr>
      </w:pPr>
      <w:r>
        <w:rPr>
          <w:i/>
          <w:iCs/>
          <w:lang w:val="en-AU"/>
        </w:rPr>
        <w:t>*</w:t>
      </w:r>
      <w:r w:rsidR="00F62C94" w:rsidRPr="00F62C94">
        <w:rPr>
          <w:i/>
          <w:iCs/>
          <w:lang w:val="en-AU"/>
        </w:rPr>
        <w:t xml:space="preserve">FXU(S)/g </w:t>
      </w:r>
      <w:r w:rsidR="006F09B1">
        <w:rPr>
          <w:i/>
          <w:iCs/>
          <w:lang w:val="en-AU"/>
        </w:rPr>
        <w:t xml:space="preserve">is </w:t>
      </w:r>
      <w:r w:rsidR="00F62C94" w:rsidRPr="00F62C94">
        <w:rPr>
          <w:i/>
          <w:iCs/>
          <w:lang w:val="en-AU"/>
        </w:rPr>
        <w:t>Fungal Xylanase Units per gram</w:t>
      </w:r>
    </w:p>
    <w:p w14:paraId="4C4CE535" w14:textId="433A293F" w:rsidR="006F09B1" w:rsidRDefault="004F2241" w:rsidP="007B6EF9">
      <w:pPr>
        <w:spacing w:after="240"/>
        <w:rPr>
          <w:lang w:eastAsia="en-AU" w:bidi="ar-SA"/>
        </w:rPr>
      </w:pPr>
      <w:r w:rsidRPr="058F45AF">
        <w:rPr>
          <w:lang w:eastAsia="en-AU" w:bidi="ar-SA"/>
        </w:rPr>
        <w:t xml:space="preserve">The enzyme preparation is available as a liquid concentrate standardised in </w:t>
      </w:r>
      <w:r w:rsidR="00B57806" w:rsidRPr="058F45AF">
        <w:rPr>
          <w:lang w:eastAsia="en-AU" w:bidi="ar-SA"/>
        </w:rPr>
        <w:t>fungal xylanase</w:t>
      </w:r>
      <w:r w:rsidRPr="058F45AF">
        <w:rPr>
          <w:lang w:eastAsia="en-AU" w:bidi="ar-SA"/>
        </w:rPr>
        <w:t xml:space="preserve"> units to an activity of 1</w:t>
      </w:r>
      <w:r w:rsidR="009A5890" w:rsidRPr="058F45AF">
        <w:rPr>
          <w:lang w:eastAsia="en-AU" w:bidi="ar-SA"/>
        </w:rPr>
        <w:t>5</w:t>
      </w:r>
      <w:r w:rsidRPr="058F45AF">
        <w:rPr>
          <w:lang w:eastAsia="en-AU" w:bidi="ar-SA"/>
        </w:rPr>
        <w:t xml:space="preserve">00 </w:t>
      </w:r>
      <w:r w:rsidR="006D4007" w:rsidRPr="058F45AF">
        <w:rPr>
          <w:lang w:eastAsia="en-AU" w:bidi="ar-SA"/>
        </w:rPr>
        <w:t>FXU</w:t>
      </w:r>
      <w:r w:rsidRPr="058F45AF">
        <w:rPr>
          <w:lang w:eastAsia="en-AU" w:bidi="ar-SA"/>
        </w:rPr>
        <w:t>(</w:t>
      </w:r>
      <w:r w:rsidR="00852493" w:rsidRPr="058F45AF">
        <w:rPr>
          <w:lang w:eastAsia="en-AU" w:bidi="ar-SA"/>
        </w:rPr>
        <w:t>S</w:t>
      </w:r>
      <w:r w:rsidRPr="058F45AF">
        <w:rPr>
          <w:lang w:eastAsia="en-AU" w:bidi="ar-SA"/>
        </w:rPr>
        <w:t xml:space="preserve">)/g. </w:t>
      </w:r>
      <w:r w:rsidR="04DA168A" w:rsidRPr="058F45AF">
        <w:rPr>
          <w:lang w:eastAsia="en-AU" w:bidi="ar-SA"/>
        </w:rPr>
        <w:t>E</w:t>
      </w:r>
      <w:r w:rsidR="00D9711B" w:rsidRPr="058F45AF">
        <w:rPr>
          <w:lang w:eastAsia="en-AU" w:bidi="ar-SA"/>
        </w:rPr>
        <w:t>ndo-1,4</w:t>
      </w:r>
      <w:r w:rsidR="005B56E9" w:rsidRPr="058F45AF">
        <w:rPr>
          <w:lang w:eastAsia="en-AU" w:bidi="ar-SA"/>
        </w:rPr>
        <w:t>-</w:t>
      </w:r>
      <w:r w:rsidR="00D9711B" w:rsidRPr="058F45AF">
        <w:rPr>
          <w:lang w:eastAsia="en-AU" w:bidi="ar-SA"/>
        </w:rPr>
        <w:t>beta-</w:t>
      </w:r>
      <w:r w:rsidR="005E73D7" w:rsidRPr="058F45AF">
        <w:rPr>
          <w:lang w:eastAsia="en-AU" w:bidi="ar-SA"/>
        </w:rPr>
        <w:t>xylanases hydrolyse wheat arabinoxylan to release a reducing carbohydrate</w:t>
      </w:r>
      <w:r w:rsidR="00C37574" w:rsidRPr="058F45AF">
        <w:rPr>
          <w:lang w:eastAsia="en-AU" w:bidi="ar-SA"/>
        </w:rPr>
        <w:t xml:space="preserve">. The reaction is stopped by an alkaline reagent that complexes with the reducing sugar producing colour detected at 405nm. </w:t>
      </w:r>
      <w:r w:rsidR="003A4B35" w:rsidRPr="058F45AF">
        <w:rPr>
          <w:lang w:eastAsia="en-AU" w:bidi="ar-SA"/>
        </w:rPr>
        <w:t>The</w:t>
      </w:r>
      <w:r w:rsidR="00C37574" w:rsidRPr="058F45AF">
        <w:rPr>
          <w:lang w:eastAsia="en-AU" w:bidi="ar-SA"/>
        </w:rPr>
        <w:t xml:space="preserve"> </w:t>
      </w:r>
      <w:r w:rsidR="00E732D7" w:rsidRPr="058F45AF">
        <w:rPr>
          <w:lang w:eastAsia="en-AU" w:bidi="ar-SA"/>
        </w:rPr>
        <w:t xml:space="preserve">increase in absorbance is </w:t>
      </w:r>
      <w:r w:rsidR="00FF4AC5" w:rsidRPr="058F45AF">
        <w:rPr>
          <w:lang w:eastAsia="en-AU" w:bidi="ar-SA"/>
        </w:rPr>
        <w:t xml:space="preserve">proportional to the </w:t>
      </w:r>
      <w:r w:rsidR="00E61E7F" w:rsidRPr="058F45AF">
        <w:rPr>
          <w:lang w:eastAsia="en-AU" w:bidi="ar-SA"/>
        </w:rPr>
        <w:t>enzyme activity.</w:t>
      </w:r>
      <w:r w:rsidR="00C37574" w:rsidRPr="058F45AF">
        <w:rPr>
          <w:lang w:eastAsia="en-AU" w:bidi="ar-SA"/>
        </w:rPr>
        <w:t xml:space="preserve"> </w:t>
      </w:r>
    </w:p>
    <w:p w14:paraId="7888E63F" w14:textId="5BFE6C0C" w:rsidR="00DC26F6" w:rsidRDefault="00DC26F6" w:rsidP="2F66B5B4">
      <w:pPr>
        <w:rPr>
          <w:lang w:bidi="ar-SA"/>
        </w:rPr>
      </w:pPr>
      <w:r w:rsidRPr="058F45AF">
        <w:rPr>
          <w:lang w:bidi="ar-SA"/>
        </w:rPr>
        <w:t xml:space="preserve">The highest dosage level used </w:t>
      </w:r>
      <w:r w:rsidRPr="058F45AF">
        <w:rPr>
          <w:lang w:val="en-AU" w:bidi="ar-SA"/>
        </w:rPr>
        <w:t xml:space="preserve">for solid and liquid foods is 600 FXU(S)/kg grains or 16mg </w:t>
      </w:r>
      <w:r w:rsidR="006A4320" w:rsidRPr="058F45AF">
        <w:rPr>
          <w:lang w:val="en-AU" w:bidi="ar-SA"/>
        </w:rPr>
        <w:t>TOS</w:t>
      </w:r>
      <w:r w:rsidRPr="058F45AF">
        <w:rPr>
          <w:lang w:val="en-AU" w:bidi="ar-SA"/>
        </w:rPr>
        <w:t>/kg grains</w:t>
      </w:r>
      <w:r w:rsidRPr="058F45AF">
        <w:rPr>
          <w:lang w:bidi="ar-SA"/>
        </w:rPr>
        <w:t>.</w:t>
      </w:r>
    </w:p>
    <w:p w14:paraId="1CDCF1A5" w14:textId="1076C552" w:rsidR="058F45AF" w:rsidRDefault="058F45AF" w:rsidP="058F45AF">
      <w:pPr>
        <w:rPr>
          <w:lang w:bidi="ar-SA"/>
        </w:rPr>
      </w:pPr>
    </w:p>
    <w:p w14:paraId="167676A4" w14:textId="4F3C988C" w:rsidR="00154554" w:rsidRDefault="00154554" w:rsidP="007B6EF9">
      <w:pPr>
        <w:spacing w:after="240"/>
        <w:rPr>
          <w:lang w:eastAsia="en-AU" w:bidi="ar-SA"/>
        </w:rPr>
      </w:pPr>
      <w:r>
        <w:t>The</w:t>
      </w:r>
      <w:r w:rsidRPr="4E28B9A9">
        <w:rPr>
          <w:lang w:bidi="ar-SA"/>
        </w:rPr>
        <w:t xml:space="preserve"> Codex guideline, </w:t>
      </w:r>
      <w:r w:rsidRPr="4E28B9A9">
        <w:rPr>
          <w:i/>
          <w:iCs/>
          <w:lang w:bidi="ar-SA"/>
        </w:rPr>
        <w:t>Guidelines on Substances used as Processing Aids</w:t>
      </w:r>
      <w:r w:rsidRPr="4E28B9A9">
        <w:rPr>
          <w:lang w:bidi="ar-SA"/>
        </w:rPr>
        <w:t xml:space="preserve"> (CAC/GL 75-2010) sets out general principles for the safe use of substances used as processing aids. The Guideline states that substances used as processing aids shall be used under conditions of </w:t>
      </w:r>
      <w:r>
        <w:t>good manufacturing practice (</w:t>
      </w:r>
      <w:r w:rsidRPr="4E28B9A9">
        <w:rPr>
          <w:lang w:bidi="ar-SA"/>
        </w:rPr>
        <w:t>GMP). Therefore, u</w:t>
      </w:r>
      <w:r>
        <w:t xml:space="preserve">se of commercial enzyme preparations should follow GMP, where use is at a level that is not higher than that necessary to achieve the </w:t>
      </w:r>
      <w:r>
        <w:rPr>
          <w:lang w:bidi="ar-SA"/>
        </w:rPr>
        <w:t xml:space="preserve">desired enzymatic reaction. The applicant has mentioned that use of the enzyme is at GMP levels. </w:t>
      </w:r>
    </w:p>
    <w:p w14:paraId="21FFD8AD" w14:textId="77777777" w:rsidR="00642A92" w:rsidRPr="007E19A4" w:rsidRDefault="00642A92" w:rsidP="00642A92">
      <w:pPr>
        <w:spacing w:before="240"/>
        <w:rPr>
          <w:lang w:val="en-NZ"/>
        </w:rPr>
      </w:pPr>
      <w:r w:rsidRPr="007E19A4">
        <w:rPr>
          <w:lang w:val="en-NZ"/>
        </w:rPr>
        <w:t xml:space="preserve">Endo-1,4-beta-xylanase from </w:t>
      </w:r>
      <w:r w:rsidRPr="007E19A4">
        <w:rPr>
          <w:i/>
          <w:iCs/>
          <w:lang w:val="en-NZ"/>
        </w:rPr>
        <w:t xml:space="preserve">T. </w:t>
      </w:r>
      <w:proofErr w:type="spellStart"/>
      <w:r w:rsidRPr="007E19A4">
        <w:rPr>
          <w:i/>
          <w:iCs/>
          <w:lang w:val="en-NZ"/>
        </w:rPr>
        <w:t>reesei</w:t>
      </w:r>
      <w:proofErr w:type="spellEnd"/>
      <w:r w:rsidRPr="007E19A4">
        <w:rPr>
          <w:lang w:val="en-NZ"/>
        </w:rPr>
        <w:t xml:space="preserve"> is already permitted to be used as a processing aid by the Code, but not from </w:t>
      </w:r>
      <w:r w:rsidRPr="007E19A4">
        <w:rPr>
          <w:i/>
          <w:iCs/>
          <w:lang w:val="en-NZ"/>
        </w:rPr>
        <w:t xml:space="preserve">T. </w:t>
      </w:r>
      <w:proofErr w:type="spellStart"/>
      <w:r w:rsidRPr="007E19A4">
        <w:rPr>
          <w:i/>
          <w:iCs/>
          <w:lang w:val="en-NZ"/>
        </w:rPr>
        <w:t>reesei</w:t>
      </w:r>
      <w:proofErr w:type="spellEnd"/>
      <w:r w:rsidRPr="007E19A4">
        <w:rPr>
          <w:lang w:val="en-NZ"/>
        </w:rPr>
        <w:t xml:space="preserve"> containing for gene for endo-1,4-beta-xylanase from </w:t>
      </w:r>
      <w:r w:rsidRPr="007E19A4">
        <w:rPr>
          <w:i/>
          <w:iCs/>
          <w:lang w:val="en-NZ"/>
        </w:rPr>
        <w:t xml:space="preserve">T. </w:t>
      </w:r>
      <w:proofErr w:type="spellStart"/>
      <w:r w:rsidRPr="007E19A4">
        <w:rPr>
          <w:i/>
          <w:iCs/>
          <w:lang w:val="en-NZ"/>
        </w:rPr>
        <w:t>leycettanus</w:t>
      </w:r>
      <w:proofErr w:type="spellEnd"/>
      <w:r w:rsidRPr="007E19A4">
        <w:rPr>
          <w:lang w:val="en-NZ"/>
        </w:rPr>
        <w:t xml:space="preserve"> as requested by the applicant.</w:t>
      </w:r>
    </w:p>
    <w:p w14:paraId="6044B28A" w14:textId="10865C64" w:rsidR="00BC46B1" w:rsidRDefault="00BC46B1" w:rsidP="00642A92">
      <w:pPr>
        <w:pStyle w:val="Heading2"/>
        <w:rPr>
          <w:lang w:eastAsia="en-AU"/>
        </w:rPr>
      </w:pPr>
      <w:bookmarkStart w:id="17" w:name="_Toc121322358"/>
      <w:r>
        <w:rPr>
          <w:lang w:eastAsia="en-AU"/>
        </w:rPr>
        <w:t>2.4 Technological justification</w:t>
      </w:r>
      <w:bookmarkEnd w:id="17"/>
    </w:p>
    <w:p w14:paraId="76976634" w14:textId="4AE54ED8" w:rsidR="00346C6D" w:rsidRDefault="00BF730F" w:rsidP="007B6EF9">
      <w:pPr>
        <w:spacing w:after="240"/>
        <w:rPr>
          <w:lang w:bidi="ar-SA"/>
        </w:rPr>
      </w:pPr>
      <w:r w:rsidRPr="005E7B17">
        <w:t xml:space="preserve">The enzyme performs its technological function by hydrolysing </w:t>
      </w:r>
      <w:proofErr w:type="spellStart"/>
      <w:r w:rsidRPr="005E7B17">
        <w:t>xylosidic</w:t>
      </w:r>
      <w:proofErr w:type="spellEnd"/>
      <w:r w:rsidRPr="005E7B17">
        <w:t xml:space="preserve"> linkages in </w:t>
      </w:r>
      <w:proofErr w:type="spellStart"/>
      <w:r w:rsidRPr="005E7B17">
        <w:t>xylans</w:t>
      </w:r>
      <w:proofErr w:type="spellEnd"/>
      <w:r w:rsidRPr="005E7B17">
        <w:t>, including arabinoxylan</w:t>
      </w:r>
      <w:r>
        <w:t xml:space="preserve"> present in grains for further processing. </w:t>
      </w:r>
      <w:r w:rsidR="00346C6D">
        <w:rPr>
          <w:lang w:eastAsia="en-AU" w:bidi="ar-SA"/>
        </w:rPr>
        <w:t xml:space="preserve">The enzyme is denatured </w:t>
      </w:r>
      <w:r w:rsidR="00A43231">
        <w:rPr>
          <w:lang w:eastAsia="en-AU" w:bidi="ar-SA"/>
        </w:rPr>
        <w:t xml:space="preserve">and inactivated during </w:t>
      </w:r>
      <w:r w:rsidR="00075FD8">
        <w:rPr>
          <w:lang w:val="en-AU" w:bidi="ar-SA"/>
        </w:rPr>
        <w:t xml:space="preserve">brewing, fats and oils processing, </w:t>
      </w:r>
      <w:r w:rsidR="005675A9">
        <w:rPr>
          <w:lang w:val="en-AU" w:bidi="ar-SA"/>
        </w:rPr>
        <w:t xml:space="preserve">grain processing </w:t>
      </w:r>
      <w:r w:rsidR="00075FD8">
        <w:rPr>
          <w:lang w:val="en-AU" w:bidi="ar-SA"/>
        </w:rPr>
        <w:t>and potable alcohol production</w:t>
      </w:r>
      <w:r w:rsidR="00A43231" w:rsidRPr="00020DEB">
        <w:rPr>
          <w:lang w:bidi="ar-SA"/>
        </w:rPr>
        <w:t>.</w:t>
      </w:r>
      <w:r w:rsidR="00B11181">
        <w:rPr>
          <w:lang w:bidi="ar-SA"/>
        </w:rPr>
        <w:t xml:space="preserve"> </w:t>
      </w:r>
      <w:r w:rsidR="00346C6D">
        <w:rPr>
          <w:lang w:eastAsia="en-AU" w:bidi="ar-SA"/>
        </w:rPr>
        <w:t xml:space="preserve">It therefore functions as a processing aid for the purposes of the Code. </w:t>
      </w:r>
    </w:p>
    <w:p w14:paraId="05066603" w14:textId="0D33E991" w:rsidR="000A4425" w:rsidRDefault="005F3F73" w:rsidP="007B6EF9">
      <w:pPr>
        <w:spacing w:after="240"/>
        <w:rPr>
          <w:lang w:eastAsia="en-AU" w:bidi="ar-SA"/>
        </w:rPr>
      </w:pPr>
      <w:r w:rsidRPr="058F45AF">
        <w:rPr>
          <w:lang w:eastAsia="en-AU" w:bidi="ar-SA"/>
        </w:rPr>
        <w:t xml:space="preserve">The applicant has provided information on </w:t>
      </w:r>
      <w:r w:rsidR="0B2038A3" w:rsidRPr="058F45AF">
        <w:rPr>
          <w:lang w:eastAsia="en-AU" w:bidi="ar-SA"/>
        </w:rPr>
        <w:t xml:space="preserve">claimed </w:t>
      </w:r>
      <w:r w:rsidRPr="058F45AF">
        <w:rPr>
          <w:lang w:eastAsia="en-AU" w:bidi="ar-SA"/>
        </w:rPr>
        <w:t>benefits associated with the use of</w:t>
      </w:r>
      <w:r w:rsidR="00B9401C" w:rsidRPr="058F45AF">
        <w:rPr>
          <w:lang w:eastAsia="en-AU" w:bidi="ar-SA"/>
        </w:rPr>
        <w:t xml:space="preserve"> </w:t>
      </w:r>
      <w:r w:rsidR="00EC046C" w:rsidRPr="058F45AF">
        <w:rPr>
          <w:lang w:eastAsia="en-AU" w:bidi="ar-SA"/>
        </w:rPr>
        <w:t xml:space="preserve">endo-1,4-beta-xylanase </w:t>
      </w:r>
      <w:r w:rsidR="00B9401C" w:rsidRPr="058F45AF">
        <w:rPr>
          <w:lang w:eastAsia="en-AU" w:bidi="ar-SA"/>
        </w:rPr>
        <w:t xml:space="preserve">in </w:t>
      </w:r>
      <w:r w:rsidR="00B472E7">
        <w:t xml:space="preserve">brewing, </w:t>
      </w:r>
      <w:r w:rsidR="00B472E7" w:rsidRPr="058F45AF">
        <w:rPr>
          <w:lang w:eastAsia="en-AU" w:bidi="ar-SA"/>
        </w:rPr>
        <w:t xml:space="preserve">fats and oils and grain processing, </w:t>
      </w:r>
      <w:r w:rsidR="00B472E7">
        <w:t xml:space="preserve">and </w:t>
      </w:r>
      <w:r w:rsidR="00B472E7" w:rsidRPr="058F45AF">
        <w:rPr>
          <w:lang w:eastAsia="en-AU" w:bidi="ar-SA"/>
        </w:rPr>
        <w:t xml:space="preserve">potable alcohol </w:t>
      </w:r>
      <w:r w:rsidR="00B472E7" w:rsidRPr="058F45AF">
        <w:rPr>
          <w:lang w:eastAsia="en-AU" w:bidi="ar-SA"/>
        </w:rPr>
        <w:lastRenderedPageBreak/>
        <w:t>production</w:t>
      </w:r>
      <w:r w:rsidR="00261718" w:rsidRPr="058F45AF">
        <w:rPr>
          <w:lang w:eastAsia="en-AU" w:bidi="ar-SA"/>
        </w:rPr>
        <w:t xml:space="preserve">. These are </w:t>
      </w:r>
      <w:r w:rsidR="000A4425" w:rsidRPr="058F45AF">
        <w:rPr>
          <w:lang w:eastAsia="en-AU" w:bidi="ar-SA"/>
        </w:rPr>
        <w:t xml:space="preserve">summarised in Table </w:t>
      </w:r>
      <w:r w:rsidR="000C6169" w:rsidRPr="058F45AF">
        <w:rPr>
          <w:lang w:eastAsia="en-AU" w:bidi="ar-SA"/>
        </w:rPr>
        <w:t>4</w:t>
      </w:r>
      <w:r w:rsidR="000A4425" w:rsidRPr="058F45AF">
        <w:rPr>
          <w:lang w:eastAsia="en-AU" w:bidi="ar-SA"/>
        </w:rPr>
        <w:t>.</w:t>
      </w:r>
    </w:p>
    <w:p w14:paraId="13EF9CB8" w14:textId="1F9CF0B3" w:rsidR="005F3F73" w:rsidRDefault="00AE730E" w:rsidP="00790249">
      <w:pPr>
        <w:pStyle w:val="FSFigureTitle"/>
        <w:rPr>
          <w:lang w:eastAsia="en-AU" w:bidi="ar-SA"/>
        </w:rPr>
      </w:pPr>
      <w:r>
        <w:rPr>
          <w:lang w:eastAsia="en-AU" w:bidi="ar-SA"/>
        </w:rPr>
        <w:t xml:space="preserve">Table </w:t>
      </w:r>
      <w:r w:rsidR="000C6169">
        <w:rPr>
          <w:lang w:eastAsia="en-AU" w:bidi="ar-SA"/>
        </w:rPr>
        <w:t>4</w:t>
      </w:r>
      <w:r>
        <w:rPr>
          <w:lang w:eastAsia="en-AU" w:bidi="ar-SA"/>
        </w:rPr>
        <w:t xml:space="preserve"> Benefits associated with use of </w:t>
      </w:r>
      <w:r w:rsidR="00EC046C">
        <w:rPr>
          <w:lang w:eastAsia="en-AU" w:bidi="ar-SA"/>
        </w:rPr>
        <w:t xml:space="preserve">endo-1,4-beta-xylanase </w:t>
      </w:r>
      <w:r>
        <w:rPr>
          <w:lang w:eastAsia="en-AU" w:bidi="ar-SA"/>
        </w:rPr>
        <w:t>in food production</w:t>
      </w:r>
    </w:p>
    <w:tbl>
      <w:tblPr>
        <w:tblStyle w:val="Table"/>
        <w:tblW w:w="9497" w:type="dxa"/>
        <w:tblLook w:val="04A0" w:firstRow="1" w:lastRow="0" w:firstColumn="1" w:lastColumn="0" w:noHBand="0" w:noVBand="1"/>
        <w:tblCaption w:val="Table 4"/>
        <w:tblDescription w:val="Benefits from use of endo-1,4-beta-xylanase in brewing fats and oils, grains and potable alcohol production."/>
      </w:tblPr>
      <w:tblGrid>
        <w:gridCol w:w="2374"/>
        <w:gridCol w:w="2374"/>
        <w:gridCol w:w="2375"/>
        <w:gridCol w:w="2374"/>
      </w:tblGrid>
      <w:tr w:rsidR="00B472E7" w:rsidRPr="00F60EEB" w14:paraId="4D0FB7A1" w14:textId="77777777" w:rsidTr="00B472E7">
        <w:trPr>
          <w:cnfStyle w:val="100000000000" w:firstRow="1" w:lastRow="0" w:firstColumn="0" w:lastColumn="0" w:oddVBand="0" w:evenVBand="0" w:oddHBand="0" w:evenHBand="0" w:firstRowFirstColumn="0" w:firstRowLastColumn="0" w:lastRowFirstColumn="0" w:lastRowLastColumn="0"/>
          <w:trHeight w:val="108"/>
          <w:tblHeader/>
        </w:trPr>
        <w:tc>
          <w:tcPr>
            <w:tcW w:w="2374" w:type="dxa"/>
            <w:tcBorders>
              <w:top w:val="nil"/>
              <w:left w:val="nil"/>
              <w:bottom w:val="nil"/>
              <w:right w:val="nil"/>
            </w:tcBorders>
            <w:shd w:val="clear" w:color="auto" w:fill="7F7F7F" w:themeFill="text1" w:themeFillTint="80"/>
          </w:tcPr>
          <w:p w14:paraId="7EC9ECE1" w14:textId="2B91576E" w:rsidR="00B472E7" w:rsidRPr="00DC2E63" w:rsidRDefault="00B472E7" w:rsidP="00B472E7">
            <w:pPr>
              <w:pStyle w:val="FSTableHeading"/>
              <w:rPr>
                <w:lang w:eastAsia="en-GB"/>
              </w:rPr>
            </w:pPr>
            <w:r w:rsidRPr="004533E5">
              <w:rPr>
                <w:lang w:eastAsia="en-GB"/>
              </w:rPr>
              <w:t>Brewing</w:t>
            </w:r>
          </w:p>
        </w:tc>
        <w:tc>
          <w:tcPr>
            <w:tcW w:w="2374" w:type="dxa"/>
            <w:tcBorders>
              <w:top w:val="nil"/>
              <w:left w:val="nil"/>
              <w:bottom w:val="nil"/>
              <w:right w:val="nil"/>
            </w:tcBorders>
            <w:shd w:val="clear" w:color="auto" w:fill="7F7F7F" w:themeFill="text1" w:themeFillTint="80"/>
            <w:hideMark/>
          </w:tcPr>
          <w:p w14:paraId="46EEE68A" w14:textId="104E5A42" w:rsidR="00B472E7" w:rsidRPr="00DC2E63" w:rsidRDefault="00B472E7" w:rsidP="00B472E7">
            <w:pPr>
              <w:pStyle w:val="FSTableHeading"/>
              <w:rPr>
                <w:highlight w:val="yellow"/>
                <w:lang w:eastAsia="en-GB"/>
              </w:rPr>
            </w:pPr>
            <w:r w:rsidRPr="00DC2E63">
              <w:rPr>
                <w:lang w:eastAsia="en-GB"/>
              </w:rPr>
              <w:t>Fats and oils</w:t>
            </w:r>
          </w:p>
        </w:tc>
        <w:tc>
          <w:tcPr>
            <w:tcW w:w="2375" w:type="dxa"/>
            <w:tcBorders>
              <w:top w:val="nil"/>
              <w:left w:val="nil"/>
              <w:bottom w:val="nil"/>
              <w:right w:val="nil"/>
            </w:tcBorders>
            <w:shd w:val="clear" w:color="auto" w:fill="7F7F7F" w:themeFill="text1" w:themeFillTint="80"/>
          </w:tcPr>
          <w:p w14:paraId="560F111A" w14:textId="75B09BCF" w:rsidR="00B472E7" w:rsidRPr="00DC2E63" w:rsidRDefault="00B472E7" w:rsidP="00B472E7">
            <w:pPr>
              <w:pStyle w:val="FSTableHeading"/>
              <w:rPr>
                <w:highlight w:val="yellow"/>
                <w:lang w:eastAsia="en-GB"/>
              </w:rPr>
            </w:pPr>
            <w:r w:rsidRPr="00DC2E63">
              <w:rPr>
                <w:lang w:eastAsia="en-GB"/>
              </w:rPr>
              <w:t>Grains</w:t>
            </w:r>
          </w:p>
        </w:tc>
        <w:tc>
          <w:tcPr>
            <w:tcW w:w="2374" w:type="dxa"/>
            <w:tcBorders>
              <w:top w:val="nil"/>
              <w:left w:val="nil"/>
              <w:bottom w:val="nil"/>
              <w:right w:val="nil"/>
            </w:tcBorders>
            <w:shd w:val="clear" w:color="auto" w:fill="7F7F7F" w:themeFill="text1" w:themeFillTint="80"/>
          </w:tcPr>
          <w:p w14:paraId="1B0FEB8A" w14:textId="67A05466" w:rsidR="00B472E7" w:rsidRPr="00DC2E63" w:rsidRDefault="00B472E7" w:rsidP="00B472E7">
            <w:pPr>
              <w:pStyle w:val="FSTableHeading"/>
              <w:rPr>
                <w:highlight w:val="yellow"/>
                <w:lang w:eastAsia="en-GB"/>
              </w:rPr>
            </w:pPr>
            <w:r w:rsidRPr="00DC2E63">
              <w:rPr>
                <w:lang w:eastAsia="en-GB"/>
              </w:rPr>
              <w:t>Potable alcohol</w:t>
            </w:r>
          </w:p>
        </w:tc>
      </w:tr>
      <w:tr w:rsidR="00B472E7" w:rsidRPr="00F60EEB" w14:paraId="3D0392BE" w14:textId="77777777" w:rsidTr="00B472E7">
        <w:trPr>
          <w:cnfStyle w:val="000000100000" w:firstRow="0" w:lastRow="0" w:firstColumn="0" w:lastColumn="0" w:oddVBand="0" w:evenVBand="0" w:oddHBand="1" w:evenHBand="0" w:firstRowFirstColumn="0" w:firstRowLastColumn="0" w:lastRowFirstColumn="0" w:lastRowLastColumn="0"/>
          <w:trHeight w:val="465"/>
        </w:trPr>
        <w:tc>
          <w:tcPr>
            <w:tcW w:w="2374" w:type="dxa"/>
            <w:tcBorders>
              <w:top w:val="nil"/>
              <w:left w:val="nil"/>
              <w:bottom w:val="nil"/>
              <w:right w:val="nil"/>
            </w:tcBorders>
          </w:tcPr>
          <w:p w14:paraId="2C1E8567" w14:textId="01D3EA5C" w:rsidR="00B472E7" w:rsidRDefault="00B472E7" w:rsidP="00B472E7">
            <w:pPr>
              <w:widowControl/>
              <w:autoSpaceDE w:val="0"/>
              <w:autoSpaceDN w:val="0"/>
              <w:adjustRightInd w:val="0"/>
              <w:rPr>
                <w:sz w:val="20"/>
                <w:szCs w:val="20"/>
              </w:rPr>
            </w:pPr>
            <w:r>
              <w:rPr>
                <w:sz w:val="20"/>
                <w:szCs w:val="20"/>
              </w:rPr>
              <w:t>Faster and known lautering or mash filtration</w:t>
            </w:r>
          </w:p>
        </w:tc>
        <w:tc>
          <w:tcPr>
            <w:tcW w:w="2374" w:type="dxa"/>
            <w:tcBorders>
              <w:top w:val="nil"/>
              <w:left w:val="nil"/>
              <w:bottom w:val="nil"/>
              <w:right w:val="nil"/>
            </w:tcBorders>
            <w:hideMark/>
          </w:tcPr>
          <w:p w14:paraId="46E4325B" w14:textId="77777777" w:rsidR="00B472E7" w:rsidRPr="00F60EEB" w:rsidRDefault="00B472E7" w:rsidP="00B472E7">
            <w:pPr>
              <w:widowControl/>
              <w:autoSpaceDE w:val="0"/>
              <w:autoSpaceDN w:val="0"/>
              <w:adjustRightInd w:val="0"/>
              <w:rPr>
                <w:sz w:val="20"/>
                <w:szCs w:val="20"/>
              </w:rPr>
            </w:pPr>
            <w:r>
              <w:rPr>
                <w:sz w:val="20"/>
                <w:szCs w:val="20"/>
              </w:rPr>
              <w:t>Higher oil extraction from same amount of raw material</w:t>
            </w:r>
          </w:p>
        </w:tc>
        <w:tc>
          <w:tcPr>
            <w:tcW w:w="2375" w:type="dxa"/>
            <w:tcBorders>
              <w:top w:val="nil"/>
              <w:left w:val="nil"/>
              <w:bottom w:val="nil"/>
              <w:right w:val="nil"/>
            </w:tcBorders>
          </w:tcPr>
          <w:p w14:paraId="3B6CAB9E" w14:textId="65367A12" w:rsidR="00B472E7" w:rsidRPr="00F60EEB" w:rsidRDefault="00B472E7" w:rsidP="00B472E7">
            <w:pPr>
              <w:widowControl/>
              <w:autoSpaceDE w:val="0"/>
              <w:autoSpaceDN w:val="0"/>
              <w:adjustRightInd w:val="0"/>
              <w:rPr>
                <w:sz w:val="20"/>
                <w:szCs w:val="20"/>
              </w:rPr>
            </w:pPr>
            <w:r>
              <w:rPr>
                <w:sz w:val="20"/>
                <w:szCs w:val="20"/>
              </w:rPr>
              <w:t>Higher gluten and starch yield from efficient and targeted degradation of arabinoxylans</w:t>
            </w:r>
          </w:p>
        </w:tc>
        <w:tc>
          <w:tcPr>
            <w:tcW w:w="2374" w:type="dxa"/>
            <w:tcBorders>
              <w:top w:val="nil"/>
              <w:left w:val="nil"/>
              <w:bottom w:val="nil"/>
              <w:right w:val="nil"/>
            </w:tcBorders>
          </w:tcPr>
          <w:p w14:paraId="5300AF14" w14:textId="611010AD" w:rsidR="00B472E7" w:rsidRPr="00F60EEB" w:rsidRDefault="00B472E7" w:rsidP="00B472E7">
            <w:pPr>
              <w:widowControl/>
              <w:autoSpaceDE w:val="0"/>
              <w:autoSpaceDN w:val="0"/>
              <w:adjustRightInd w:val="0"/>
              <w:rPr>
                <w:sz w:val="20"/>
                <w:szCs w:val="20"/>
              </w:rPr>
            </w:pPr>
            <w:r>
              <w:rPr>
                <w:sz w:val="20"/>
                <w:szCs w:val="20"/>
              </w:rPr>
              <w:t>Higher solid conc. During mashing – more energy efficient</w:t>
            </w:r>
          </w:p>
        </w:tc>
      </w:tr>
      <w:tr w:rsidR="00B472E7" w:rsidRPr="00F60EEB" w14:paraId="1AE31050" w14:textId="77777777" w:rsidTr="00B472E7">
        <w:trPr>
          <w:cnfStyle w:val="000000010000" w:firstRow="0" w:lastRow="0" w:firstColumn="0" w:lastColumn="0" w:oddVBand="0" w:evenVBand="0" w:oddHBand="0" w:evenHBand="1" w:firstRowFirstColumn="0" w:firstRowLastColumn="0" w:lastRowFirstColumn="0" w:lastRowLastColumn="0"/>
          <w:trHeight w:val="465"/>
        </w:trPr>
        <w:tc>
          <w:tcPr>
            <w:tcW w:w="2374" w:type="dxa"/>
            <w:tcBorders>
              <w:top w:val="nil"/>
              <w:left w:val="nil"/>
              <w:bottom w:val="nil"/>
              <w:right w:val="nil"/>
            </w:tcBorders>
          </w:tcPr>
          <w:p w14:paraId="5F00E7F0" w14:textId="39D28544" w:rsidR="00B472E7" w:rsidRDefault="00B472E7" w:rsidP="00B472E7">
            <w:pPr>
              <w:widowControl/>
              <w:autoSpaceDE w:val="0"/>
              <w:autoSpaceDN w:val="0"/>
              <w:adjustRightInd w:val="0"/>
              <w:rPr>
                <w:sz w:val="20"/>
                <w:szCs w:val="20"/>
              </w:rPr>
            </w:pPr>
            <w:r>
              <w:rPr>
                <w:sz w:val="20"/>
                <w:szCs w:val="20"/>
              </w:rPr>
              <w:t>Increased options for raw material selection</w:t>
            </w:r>
          </w:p>
        </w:tc>
        <w:tc>
          <w:tcPr>
            <w:tcW w:w="2374" w:type="dxa"/>
            <w:tcBorders>
              <w:top w:val="nil"/>
              <w:left w:val="nil"/>
              <w:bottom w:val="nil"/>
              <w:right w:val="nil"/>
            </w:tcBorders>
            <w:hideMark/>
          </w:tcPr>
          <w:p w14:paraId="16BDB4F0" w14:textId="2C6BFFB4" w:rsidR="00B472E7" w:rsidRPr="00F60EEB" w:rsidRDefault="00B472E7" w:rsidP="00B472E7">
            <w:pPr>
              <w:widowControl/>
              <w:autoSpaceDE w:val="0"/>
              <w:autoSpaceDN w:val="0"/>
              <w:adjustRightInd w:val="0"/>
              <w:rPr>
                <w:sz w:val="20"/>
                <w:szCs w:val="20"/>
              </w:rPr>
            </w:pPr>
            <w:r>
              <w:rPr>
                <w:sz w:val="20"/>
                <w:szCs w:val="20"/>
              </w:rPr>
              <w:t>Reduced viscosity during pressing and separation</w:t>
            </w:r>
          </w:p>
        </w:tc>
        <w:tc>
          <w:tcPr>
            <w:tcW w:w="2375" w:type="dxa"/>
            <w:tcBorders>
              <w:top w:val="nil"/>
              <w:left w:val="nil"/>
              <w:bottom w:val="nil"/>
              <w:right w:val="nil"/>
            </w:tcBorders>
          </w:tcPr>
          <w:p w14:paraId="06D30F91" w14:textId="207C441D" w:rsidR="00B472E7" w:rsidRPr="00F60EEB" w:rsidRDefault="00B472E7" w:rsidP="00B472E7">
            <w:pPr>
              <w:widowControl/>
              <w:autoSpaceDE w:val="0"/>
              <w:autoSpaceDN w:val="0"/>
              <w:adjustRightInd w:val="0"/>
              <w:rPr>
                <w:sz w:val="20"/>
                <w:szCs w:val="20"/>
              </w:rPr>
            </w:pPr>
            <w:r>
              <w:rPr>
                <w:sz w:val="20"/>
                <w:szCs w:val="20"/>
              </w:rPr>
              <w:t>Efficient water removal leading to energy savings</w:t>
            </w:r>
          </w:p>
        </w:tc>
        <w:tc>
          <w:tcPr>
            <w:tcW w:w="2374" w:type="dxa"/>
            <w:tcBorders>
              <w:top w:val="nil"/>
              <w:left w:val="nil"/>
              <w:bottom w:val="nil"/>
              <w:right w:val="nil"/>
            </w:tcBorders>
          </w:tcPr>
          <w:p w14:paraId="6A08DFE0" w14:textId="74B2B471" w:rsidR="00B472E7" w:rsidRPr="00F60EEB" w:rsidRDefault="00B472E7" w:rsidP="00B472E7">
            <w:pPr>
              <w:widowControl/>
              <w:autoSpaceDE w:val="0"/>
              <w:autoSpaceDN w:val="0"/>
              <w:adjustRightInd w:val="0"/>
              <w:rPr>
                <w:sz w:val="20"/>
                <w:szCs w:val="20"/>
              </w:rPr>
            </w:pPr>
            <w:r>
              <w:rPr>
                <w:sz w:val="20"/>
                <w:szCs w:val="20"/>
              </w:rPr>
              <w:t>Improved heat exchange</w:t>
            </w:r>
          </w:p>
        </w:tc>
      </w:tr>
      <w:tr w:rsidR="00B472E7" w:rsidRPr="00F60EEB" w14:paraId="138C02CB" w14:textId="77777777" w:rsidTr="00B472E7">
        <w:trPr>
          <w:cnfStyle w:val="000000100000" w:firstRow="0" w:lastRow="0" w:firstColumn="0" w:lastColumn="0" w:oddVBand="0" w:evenVBand="0" w:oddHBand="1" w:evenHBand="0" w:firstRowFirstColumn="0" w:firstRowLastColumn="0" w:lastRowFirstColumn="0" w:lastRowLastColumn="0"/>
          <w:trHeight w:val="465"/>
        </w:trPr>
        <w:tc>
          <w:tcPr>
            <w:tcW w:w="2374" w:type="dxa"/>
            <w:tcBorders>
              <w:top w:val="nil"/>
              <w:left w:val="nil"/>
              <w:bottom w:val="nil"/>
              <w:right w:val="nil"/>
            </w:tcBorders>
          </w:tcPr>
          <w:p w14:paraId="47AF24A9" w14:textId="5C4F643C" w:rsidR="00B472E7" w:rsidRDefault="00B472E7" w:rsidP="00B472E7">
            <w:pPr>
              <w:widowControl/>
              <w:autoSpaceDE w:val="0"/>
              <w:autoSpaceDN w:val="0"/>
              <w:adjustRightInd w:val="0"/>
              <w:rPr>
                <w:sz w:val="20"/>
                <w:szCs w:val="20"/>
              </w:rPr>
            </w:pPr>
            <w:r>
              <w:rPr>
                <w:sz w:val="20"/>
                <w:szCs w:val="20"/>
              </w:rPr>
              <w:t>Improved yield from efficient processing, less raw material use</w:t>
            </w:r>
          </w:p>
        </w:tc>
        <w:tc>
          <w:tcPr>
            <w:tcW w:w="2374" w:type="dxa"/>
            <w:tcBorders>
              <w:top w:val="nil"/>
              <w:left w:val="nil"/>
              <w:bottom w:val="nil"/>
              <w:right w:val="nil"/>
            </w:tcBorders>
            <w:hideMark/>
          </w:tcPr>
          <w:p w14:paraId="7CFD0363" w14:textId="50D9260F" w:rsidR="00B472E7" w:rsidRPr="00F60EEB" w:rsidRDefault="00B472E7" w:rsidP="00B472E7">
            <w:pPr>
              <w:widowControl/>
              <w:autoSpaceDE w:val="0"/>
              <w:autoSpaceDN w:val="0"/>
              <w:adjustRightInd w:val="0"/>
              <w:rPr>
                <w:sz w:val="20"/>
                <w:szCs w:val="20"/>
              </w:rPr>
            </w:pPr>
            <w:r>
              <w:rPr>
                <w:sz w:val="20"/>
                <w:szCs w:val="20"/>
              </w:rPr>
              <w:t>Reduced oil loss</w:t>
            </w:r>
          </w:p>
        </w:tc>
        <w:tc>
          <w:tcPr>
            <w:tcW w:w="2375" w:type="dxa"/>
            <w:tcBorders>
              <w:top w:val="nil"/>
              <w:left w:val="nil"/>
              <w:bottom w:val="nil"/>
              <w:right w:val="nil"/>
            </w:tcBorders>
          </w:tcPr>
          <w:p w14:paraId="1177D8A4" w14:textId="4CE35122" w:rsidR="00B472E7" w:rsidRPr="00F60EEB" w:rsidRDefault="00B472E7" w:rsidP="00B472E7">
            <w:pPr>
              <w:widowControl/>
              <w:autoSpaceDE w:val="0"/>
              <w:autoSpaceDN w:val="0"/>
              <w:adjustRightInd w:val="0"/>
              <w:rPr>
                <w:sz w:val="20"/>
                <w:szCs w:val="20"/>
              </w:rPr>
            </w:pPr>
            <w:r>
              <w:rPr>
                <w:sz w:val="20"/>
                <w:szCs w:val="20"/>
              </w:rPr>
              <w:t>Efficient operations</w:t>
            </w:r>
          </w:p>
        </w:tc>
        <w:tc>
          <w:tcPr>
            <w:tcW w:w="2374" w:type="dxa"/>
            <w:tcBorders>
              <w:top w:val="nil"/>
              <w:left w:val="nil"/>
              <w:bottom w:val="nil"/>
              <w:right w:val="nil"/>
            </w:tcBorders>
          </w:tcPr>
          <w:p w14:paraId="3DBEBFCE" w14:textId="3782C98E" w:rsidR="00B472E7" w:rsidRPr="00F60EEB" w:rsidRDefault="00B472E7" w:rsidP="00B472E7">
            <w:pPr>
              <w:widowControl/>
              <w:autoSpaceDE w:val="0"/>
              <w:autoSpaceDN w:val="0"/>
              <w:adjustRightInd w:val="0"/>
              <w:rPr>
                <w:sz w:val="20"/>
                <w:szCs w:val="20"/>
              </w:rPr>
            </w:pPr>
            <w:r>
              <w:rPr>
                <w:sz w:val="20"/>
                <w:szCs w:val="20"/>
              </w:rPr>
              <w:t>Improved centrifugal separation</w:t>
            </w:r>
          </w:p>
        </w:tc>
      </w:tr>
      <w:tr w:rsidR="00B472E7" w:rsidRPr="00F60EEB" w14:paraId="2B6E5877" w14:textId="77777777" w:rsidTr="00B472E7">
        <w:trPr>
          <w:cnfStyle w:val="000000010000" w:firstRow="0" w:lastRow="0" w:firstColumn="0" w:lastColumn="0" w:oddVBand="0" w:evenVBand="0" w:oddHBand="0" w:evenHBand="1" w:firstRowFirstColumn="0" w:firstRowLastColumn="0" w:lastRowFirstColumn="0" w:lastRowLastColumn="0"/>
          <w:trHeight w:val="465"/>
        </w:trPr>
        <w:tc>
          <w:tcPr>
            <w:tcW w:w="2374" w:type="dxa"/>
            <w:tcBorders>
              <w:top w:val="nil"/>
              <w:left w:val="nil"/>
              <w:bottom w:val="nil"/>
              <w:right w:val="nil"/>
            </w:tcBorders>
          </w:tcPr>
          <w:p w14:paraId="20670FEA" w14:textId="6CC53D2B" w:rsidR="00B472E7" w:rsidRDefault="00B472E7" w:rsidP="00B472E7">
            <w:pPr>
              <w:widowControl/>
              <w:autoSpaceDE w:val="0"/>
              <w:autoSpaceDN w:val="0"/>
              <w:adjustRightInd w:val="0"/>
              <w:rPr>
                <w:sz w:val="20"/>
                <w:szCs w:val="20"/>
              </w:rPr>
            </w:pPr>
            <w:r>
              <w:rPr>
                <w:sz w:val="20"/>
                <w:szCs w:val="20"/>
              </w:rPr>
              <w:t>Faster beer filtration</w:t>
            </w:r>
          </w:p>
        </w:tc>
        <w:tc>
          <w:tcPr>
            <w:tcW w:w="2374" w:type="dxa"/>
            <w:tcBorders>
              <w:top w:val="nil"/>
              <w:left w:val="nil"/>
              <w:bottom w:val="nil"/>
              <w:right w:val="nil"/>
            </w:tcBorders>
          </w:tcPr>
          <w:p w14:paraId="45B3B635" w14:textId="7FC06ADB" w:rsidR="00B472E7" w:rsidRPr="00F60EEB" w:rsidRDefault="00B472E7" w:rsidP="00B472E7">
            <w:pPr>
              <w:widowControl/>
              <w:autoSpaceDE w:val="0"/>
              <w:autoSpaceDN w:val="0"/>
              <w:adjustRightInd w:val="0"/>
              <w:rPr>
                <w:sz w:val="20"/>
                <w:szCs w:val="20"/>
              </w:rPr>
            </w:pPr>
            <w:r>
              <w:rPr>
                <w:sz w:val="20"/>
                <w:szCs w:val="20"/>
              </w:rPr>
              <w:t>Reduced water use</w:t>
            </w:r>
          </w:p>
        </w:tc>
        <w:tc>
          <w:tcPr>
            <w:tcW w:w="2375" w:type="dxa"/>
            <w:tcBorders>
              <w:top w:val="nil"/>
              <w:left w:val="nil"/>
              <w:bottom w:val="nil"/>
              <w:right w:val="nil"/>
            </w:tcBorders>
          </w:tcPr>
          <w:p w14:paraId="1A61EB58" w14:textId="6B189BB7" w:rsidR="00B472E7" w:rsidRPr="00F60EEB" w:rsidRDefault="00B472E7" w:rsidP="00B472E7">
            <w:pPr>
              <w:widowControl/>
              <w:autoSpaceDE w:val="0"/>
              <w:autoSpaceDN w:val="0"/>
              <w:adjustRightInd w:val="0"/>
              <w:rPr>
                <w:sz w:val="20"/>
                <w:szCs w:val="20"/>
              </w:rPr>
            </w:pPr>
            <w:r>
              <w:rPr>
                <w:sz w:val="20"/>
                <w:szCs w:val="20"/>
              </w:rPr>
              <w:t>Overall reduced grain cost</w:t>
            </w:r>
          </w:p>
        </w:tc>
        <w:tc>
          <w:tcPr>
            <w:tcW w:w="2374" w:type="dxa"/>
            <w:tcBorders>
              <w:top w:val="nil"/>
              <w:left w:val="nil"/>
              <w:bottom w:val="nil"/>
              <w:right w:val="nil"/>
            </w:tcBorders>
          </w:tcPr>
          <w:p w14:paraId="398E4B83" w14:textId="645C3B04" w:rsidR="00B472E7" w:rsidRPr="00F60EEB" w:rsidRDefault="00B472E7" w:rsidP="00B472E7">
            <w:pPr>
              <w:widowControl/>
              <w:autoSpaceDE w:val="0"/>
              <w:autoSpaceDN w:val="0"/>
              <w:adjustRightInd w:val="0"/>
              <w:rPr>
                <w:sz w:val="20"/>
                <w:szCs w:val="20"/>
              </w:rPr>
            </w:pPr>
            <w:r>
              <w:rPr>
                <w:sz w:val="20"/>
                <w:szCs w:val="20"/>
              </w:rPr>
              <w:t>Improved mass transfer during fermentation</w:t>
            </w:r>
          </w:p>
        </w:tc>
      </w:tr>
      <w:tr w:rsidR="00B472E7" w:rsidRPr="00F60EEB" w14:paraId="6A9EF29B" w14:textId="77777777" w:rsidTr="00B472E7">
        <w:trPr>
          <w:cnfStyle w:val="000000100000" w:firstRow="0" w:lastRow="0" w:firstColumn="0" w:lastColumn="0" w:oddVBand="0" w:evenVBand="0" w:oddHBand="1" w:evenHBand="0" w:firstRowFirstColumn="0" w:firstRowLastColumn="0" w:lastRowFirstColumn="0" w:lastRowLastColumn="0"/>
          <w:trHeight w:val="465"/>
        </w:trPr>
        <w:tc>
          <w:tcPr>
            <w:tcW w:w="2374" w:type="dxa"/>
            <w:tcBorders>
              <w:top w:val="nil"/>
              <w:left w:val="nil"/>
              <w:bottom w:val="single" w:sz="4" w:space="0" w:color="F3F3F3"/>
              <w:right w:val="nil"/>
            </w:tcBorders>
          </w:tcPr>
          <w:p w14:paraId="7E533D2A" w14:textId="65C87F9F" w:rsidR="00B472E7" w:rsidRDefault="00B472E7" w:rsidP="00B472E7">
            <w:pPr>
              <w:widowControl/>
              <w:autoSpaceDE w:val="0"/>
              <w:autoSpaceDN w:val="0"/>
              <w:adjustRightInd w:val="0"/>
              <w:rPr>
                <w:sz w:val="20"/>
                <w:szCs w:val="20"/>
              </w:rPr>
            </w:pPr>
            <w:r>
              <w:rPr>
                <w:sz w:val="20"/>
                <w:szCs w:val="20"/>
              </w:rPr>
              <w:t>Reduced use of filtration aids</w:t>
            </w:r>
          </w:p>
        </w:tc>
        <w:tc>
          <w:tcPr>
            <w:tcW w:w="2374" w:type="dxa"/>
            <w:tcBorders>
              <w:top w:val="nil"/>
              <w:left w:val="nil"/>
              <w:bottom w:val="single" w:sz="4" w:space="0" w:color="F3F3F3"/>
              <w:right w:val="nil"/>
            </w:tcBorders>
          </w:tcPr>
          <w:p w14:paraId="1AC112E6" w14:textId="16873888" w:rsidR="00B472E7" w:rsidRPr="00F60EEB" w:rsidRDefault="00B472E7" w:rsidP="00B472E7">
            <w:pPr>
              <w:widowControl/>
              <w:autoSpaceDE w:val="0"/>
              <w:autoSpaceDN w:val="0"/>
              <w:adjustRightInd w:val="0"/>
              <w:rPr>
                <w:sz w:val="20"/>
                <w:szCs w:val="20"/>
              </w:rPr>
            </w:pPr>
            <w:r>
              <w:rPr>
                <w:sz w:val="20"/>
                <w:szCs w:val="20"/>
              </w:rPr>
              <w:t>Reduced waste production and handling</w:t>
            </w:r>
          </w:p>
        </w:tc>
        <w:tc>
          <w:tcPr>
            <w:tcW w:w="2375" w:type="dxa"/>
            <w:tcBorders>
              <w:top w:val="nil"/>
              <w:left w:val="nil"/>
              <w:bottom w:val="single" w:sz="4" w:space="0" w:color="F3F3F3"/>
              <w:right w:val="nil"/>
            </w:tcBorders>
          </w:tcPr>
          <w:p w14:paraId="7BFEC8CF" w14:textId="77777777" w:rsidR="00B472E7" w:rsidRPr="00F60EEB" w:rsidRDefault="00B472E7" w:rsidP="00B472E7">
            <w:pPr>
              <w:widowControl/>
              <w:autoSpaceDE w:val="0"/>
              <w:autoSpaceDN w:val="0"/>
              <w:adjustRightInd w:val="0"/>
              <w:rPr>
                <w:sz w:val="20"/>
                <w:szCs w:val="20"/>
              </w:rPr>
            </w:pPr>
          </w:p>
        </w:tc>
        <w:tc>
          <w:tcPr>
            <w:tcW w:w="2374" w:type="dxa"/>
            <w:tcBorders>
              <w:top w:val="nil"/>
              <w:left w:val="nil"/>
              <w:bottom w:val="single" w:sz="4" w:space="0" w:color="F3F3F3"/>
              <w:right w:val="nil"/>
            </w:tcBorders>
          </w:tcPr>
          <w:p w14:paraId="786AA36F" w14:textId="566D9BEF" w:rsidR="00B472E7" w:rsidRPr="00F60EEB" w:rsidRDefault="00B472E7" w:rsidP="00B472E7">
            <w:pPr>
              <w:widowControl/>
              <w:autoSpaceDE w:val="0"/>
              <w:autoSpaceDN w:val="0"/>
              <w:adjustRightInd w:val="0"/>
              <w:rPr>
                <w:sz w:val="20"/>
                <w:szCs w:val="20"/>
              </w:rPr>
            </w:pPr>
            <w:r>
              <w:rPr>
                <w:sz w:val="20"/>
                <w:szCs w:val="20"/>
              </w:rPr>
              <w:t>Increased fermentable sugars following beta glucan hydrolysis</w:t>
            </w:r>
          </w:p>
        </w:tc>
      </w:tr>
    </w:tbl>
    <w:p w14:paraId="4C2ABC24" w14:textId="77777777" w:rsidR="005102D4" w:rsidRPr="005102D4" w:rsidRDefault="005102D4" w:rsidP="005102D4">
      <w:pPr>
        <w:rPr>
          <w:lang w:eastAsia="en-AU" w:bidi="ar-SA"/>
        </w:rPr>
      </w:pPr>
    </w:p>
    <w:p w14:paraId="603F7844" w14:textId="29645621" w:rsidR="00BC46B1" w:rsidRDefault="007B70FB" w:rsidP="00642A92">
      <w:pPr>
        <w:pStyle w:val="Heading2"/>
        <w:rPr>
          <w:lang w:eastAsia="en-AU"/>
        </w:rPr>
      </w:pPr>
      <w:bookmarkStart w:id="18" w:name="_Toc121322359"/>
      <w:r>
        <w:rPr>
          <w:lang w:eastAsia="en-AU"/>
        </w:rPr>
        <w:t>2.5 Food technology conclusion</w:t>
      </w:r>
      <w:bookmarkEnd w:id="18"/>
    </w:p>
    <w:p w14:paraId="27795766" w14:textId="727C9C58" w:rsidR="00F167F5" w:rsidRPr="00251CE7" w:rsidRDefault="00F167F5" w:rsidP="00F167F5">
      <w:pPr>
        <w:widowControl/>
        <w:spacing w:before="120" w:after="120"/>
        <w:rPr>
          <w:lang w:val="en-AU" w:bidi="ar-SA"/>
        </w:rPr>
      </w:pPr>
      <w:r w:rsidRPr="058F45AF">
        <w:rPr>
          <w:lang w:eastAsia="en-AU" w:bidi="ar-SA"/>
        </w:rPr>
        <w:t xml:space="preserve">FSANZ concludes that the proposed use of endo-1,4-beta-xylanase in </w:t>
      </w:r>
      <w:r>
        <w:t xml:space="preserve">brewing, </w:t>
      </w:r>
      <w:r w:rsidRPr="058F45AF">
        <w:rPr>
          <w:lang w:eastAsia="en-AU" w:bidi="ar-SA"/>
        </w:rPr>
        <w:t xml:space="preserve">fats and oils and grain processing, </w:t>
      </w:r>
      <w:r>
        <w:t xml:space="preserve">and </w:t>
      </w:r>
      <w:r w:rsidRPr="058F45AF">
        <w:rPr>
          <w:lang w:eastAsia="en-AU" w:bidi="ar-SA"/>
        </w:rPr>
        <w:t>potable alcohol production  is consistent with its technological purpose of</w:t>
      </w:r>
      <w:r w:rsidR="00BE1B97" w:rsidRPr="058F45AF">
        <w:rPr>
          <w:lang w:eastAsia="en-AU" w:bidi="ar-SA"/>
        </w:rPr>
        <w:t xml:space="preserve"> endo-hydrolysis of 1,4-beta-xylosidic linkages in </w:t>
      </w:r>
      <w:proofErr w:type="spellStart"/>
      <w:r w:rsidR="00BE1B97" w:rsidRPr="058F45AF">
        <w:rPr>
          <w:lang w:eastAsia="en-AU" w:bidi="ar-SA"/>
        </w:rPr>
        <w:t>xylan</w:t>
      </w:r>
      <w:proofErr w:type="spellEnd"/>
      <w:r w:rsidRPr="058F45AF">
        <w:rPr>
          <w:lang w:eastAsia="en-AU" w:bidi="ar-SA"/>
        </w:rPr>
        <w:t xml:space="preserve">. </w:t>
      </w:r>
      <w:r>
        <w:t>FSANZ concludes that the information included in the application and assessment support the proposed use. T</w:t>
      </w:r>
      <w:r w:rsidRPr="058F45AF">
        <w:rPr>
          <w:lang w:val="en-AU" w:bidi="ar-SA"/>
        </w:rPr>
        <w:t>he use of the enzyme, in the form and requested amount at a level consistent with GMP is technologically justified and has been demonstrated to be effective in achieving its stated purpose.</w:t>
      </w:r>
    </w:p>
    <w:p w14:paraId="751AAE4E" w14:textId="189EE178" w:rsidR="00F167F5" w:rsidRPr="00251CE7" w:rsidRDefault="00BE1B97" w:rsidP="00F167F5">
      <w:pPr>
        <w:widowControl/>
        <w:spacing w:before="120" w:after="120"/>
        <w:rPr>
          <w:lang w:eastAsia="en-AU" w:bidi="ar-SA"/>
        </w:rPr>
      </w:pPr>
      <w:r>
        <w:rPr>
          <w:lang w:eastAsia="en-AU" w:bidi="ar-SA"/>
        </w:rPr>
        <w:t xml:space="preserve">Endo-1,4-beta-xylanase </w:t>
      </w:r>
      <w:r w:rsidR="00F167F5" w:rsidRPr="00251CE7">
        <w:rPr>
          <w:lang w:eastAsia="en-AU" w:bidi="ar-SA"/>
        </w:rPr>
        <w:t xml:space="preserve">performs its technological purpose during the production </w:t>
      </w:r>
      <w:r w:rsidR="00F167F5">
        <w:rPr>
          <w:lang w:eastAsia="en-AU" w:bidi="ar-SA"/>
        </w:rPr>
        <w:t xml:space="preserve">and processing </w:t>
      </w:r>
      <w:r w:rsidR="00F167F5" w:rsidRPr="00251CE7">
        <w:rPr>
          <w:lang w:eastAsia="en-AU" w:bidi="ar-SA"/>
        </w:rPr>
        <w:t xml:space="preserve">of food and is not performing a technological purpose in the final food. </w:t>
      </w:r>
      <w:r w:rsidR="00F167F5" w:rsidRPr="00251CE7">
        <w:t>It is therefore appropriately categorised as a processing aid as defined in the Code.</w:t>
      </w:r>
    </w:p>
    <w:p w14:paraId="20366A89" w14:textId="4F0D4116" w:rsidR="001461DF" w:rsidRPr="001461DF" w:rsidRDefault="00F167F5" w:rsidP="007F1C7E">
      <w:pPr>
        <w:widowControl/>
        <w:spacing w:before="120" w:after="120"/>
        <w:rPr>
          <w:lang w:eastAsia="en-AU" w:bidi="ar-SA"/>
        </w:rPr>
      </w:pPr>
      <w:r w:rsidRPr="00251CE7">
        <w:rPr>
          <w:lang w:eastAsia="en-AU" w:bidi="ar-SA"/>
        </w:rPr>
        <w:t>There are relevant identity and purity specifications for the enzyme in the Code and the applicant provided evidence that the enzyme meets these specifications.</w:t>
      </w:r>
    </w:p>
    <w:p w14:paraId="20E44698" w14:textId="7D0F80C5" w:rsidR="007B70FB" w:rsidRDefault="007B70FB" w:rsidP="0086533B">
      <w:pPr>
        <w:pStyle w:val="Heading1"/>
        <w:rPr>
          <w:lang w:eastAsia="en-AU"/>
        </w:rPr>
      </w:pPr>
      <w:bookmarkStart w:id="19" w:name="_Toc121322360"/>
      <w:r>
        <w:rPr>
          <w:lang w:eastAsia="en-AU"/>
        </w:rPr>
        <w:t>3 Safety assessment</w:t>
      </w:r>
      <w:bookmarkEnd w:id="19"/>
    </w:p>
    <w:p w14:paraId="1F6CD5B8" w14:textId="5777BA9C" w:rsidR="006F67C2" w:rsidRPr="006F67C2" w:rsidRDefault="167459C4" w:rsidP="006F67C2">
      <w:pPr>
        <w:widowControl/>
        <w:spacing w:before="120" w:after="120" w:line="259" w:lineRule="auto"/>
      </w:pPr>
      <w:r w:rsidRPr="4136C568">
        <w:rPr>
          <w:lang w:eastAsia="en-AU" w:bidi="ar-SA"/>
        </w:rPr>
        <w:t xml:space="preserve">The objective of this safety assessment are to </w:t>
      </w:r>
      <w:r w:rsidR="00E823E1">
        <w:rPr>
          <w:lang w:eastAsia="en-AU" w:bidi="ar-SA"/>
        </w:rPr>
        <w:t>e</w:t>
      </w:r>
      <w:r w:rsidR="00E823E1">
        <w:t>valuate</w:t>
      </w:r>
      <w:r>
        <w:t xml:space="preserve"> any potential public health and safety concerns that may arise from the use of this enzyme</w:t>
      </w:r>
      <w:r w:rsidRPr="4136C568">
        <w:rPr>
          <w:lang w:eastAsia="en-AU"/>
        </w:rPr>
        <w:t xml:space="preserve">, produced by this microorganism, </w:t>
      </w:r>
      <w:r>
        <w:t xml:space="preserve">as a processing aid. </w:t>
      </w:r>
    </w:p>
    <w:p w14:paraId="39F901FA" w14:textId="4B6E17FE" w:rsidR="006F67C2" w:rsidRPr="00DA3A2C" w:rsidRDefault="006F67C2" w:rsidP="00DA3A2C">
      <w:pPr>
        <w:widowControl/>
        <w:spacing w:before="120" w:after="120" w:line="259" w:lineRule="auto"/>
        <w:rPr>
          <w:lang w:val="en-AU"/>
        </w:rPr>
      </w:pPr>
      <w:r w:rsidRPr="2F66B5B4">
        <w:rPr>
          <w:lang w:val="en-AU" w:bidi="ar-SA"/>
        </w:rPr>
        <w:t>Some information relevant to this section is CCI, so full details cannot be provided in this public report.</w:t>
      </w:r>
    </w:p>
    <w:p w14:paraId="518866B3" w14:textId="713C0B5C" w:rsidR="007B70FB" w:rsidRDefault="007B70FB" w:rsidP="00642A92">
      <w:pPr>
        <w:pStyle w:val="Heading2"/>
        <w:rPr>
          <w:lang w:eastAsia="en-AU"/>
        </w:rPr>
      </w:pPr>
      <w:bookmarkStart w:id="20" w:name="_Toc121322361"/>
      <w:r>
        <w:rPr>
          <w:lang w:eastAsia="en-AU"/>
        </w:rPr>
        <w:lastRenderedPageBreak/>
        <w:t>3.1 History of use</w:t>
      </w:r>
      <w:bookmarkEnd w:id="20"/>
    </w:p>
    <w:p w14:paraId="68AB0EC5" w14:textId="133B0B32" w:rsidR="00841123" w:rsidRDefault="00E94785" w:rsidP="00AE6A3A">
      <w:pPr>
        <w:pStyle w:val="Heading3"/>
      </w:pPr>
      <w:bookmarkStart w:id="21" w:name="_Toc121322362"/>
      <w:r>
        <w:t>3.1.1</w:t>
      </w:r>
      <w:r w:rsidR="00E7200A">
        <w:t xml:space="preserve"> Host organism</w:t>
      </w:r>
      <w:bookmarkEnd w:id="21"/>
    </w:p>
    <w:p w14:paraId="400A99A3" w14:textId="3F7D2591" w:rsidR="00E41CD2" w:rsidRDefault="00E41CD2" w:rsidP="00562970">
      <w:pPr>
        <w:rPr>
          <w:rFonts w:cs="Arial"/>
          <w:i/>
          <w:iCs/>
          <w:color w:val="000000"/>
        </w:rPr>
      </w:pPr>
      <w:r>
        <w:rPr>
          <w:rFonts w:cs="Arial"/>
          <w:i/>
          <w:iCs/>
          <w:color w:val="000000"/>
        </w:rPr>
        <w:t xml:space="preserve">Trichoderma </w:t>
      </w:r>
      <w:proofErr w:type="spellStart"/>
      <w:r>
        <w:rPr>
          <w:rFonts w:cs="Arial"/>
          <w:i/>
          <w:iCs/>
          <w:color w:val="000000"/>
        </w:rPr>
        <w:t>reesei</w:t>
      </w:r>
      <w:proofErr w:type="spellEnd"/>
    </w:p>
    <w:p w14:paraId="6D08AD86" w14:textId="3866A571" w:rsidR="00562970" w:rsidRDefault="00562970" w:rsidP="007B6EF9">
      <w:pPr>
        <w:spacing w:before="240" w:after="240"/>
        <w:rPr>
          <w:rFonts w:cs="Arial"/>
        </w:rPr>
      </w:pPr>
      <w:r w:rsidRPr="2F66B5B4">
        <w:rPr>
          <w:rFonts w:cs="Arial"/>
          <w:i/>
          <w:iCs/>
          <w:color w:val="000000" w:themeColor="text1"/>
        </w:rPr>
        <w:t xml:space="preserve">T. </w:t>
      </w:r>
      <w:proofErr w:type="spellStart"/>
      <w:r w:rsidRPr="2F66B5B4">
        <w:rPr>
          <w:rFonts w:cs="Arial"/>
          <w:i/>
          <w:iCs/>
          <w:color w:val="000000" w:themeColor="text1"/>
        </w:rPr>
        <w:t>reesei</w:t>
      </w:r>
      <w:proofErr w:type="spellEnd"/>
      <w:r w:rsidRPr="2F66B5B4">
        <w:rPr>
          <w:rFonts w:cs="Arial"/>
          <w:color w:val="000000" w:themeColor="text1"/>
        </w:rPr>
        <w:t xml:space="preserve"> is a common, </w:t>
      </w:r>
      <w:proofErr w:type="spellStart"/>
      <w:r w:rsidRPr="2F66B5B4">
        <w:rPr>
          <w:rFonts w:cs="Arial"/>
          <w:color w:val="000000" w:themeColor="text1"/>
        </w:rPr>
        <w:t>hypercellulolytic</w:t>
      </w:r>
      <w:proofErr w:type="spellEnd"/>
      <w:r w:rsidRPr="2F66B5B4">
        <w:rPr>
          <w:rFonts w:cs="Arial"/>
          <w:color w:val="000000" w:themeColor="text1"/>
        </w:rPr>
        <w:t xml:space="preserve">, soil fungus that was initially isolated from deteriorating canvas made from cellulosic material. The original isolate QM6a is the type strain for </w:t>
      </w:r>
      <w:r w:rsidRPr="2F66B5B4">
        <w:rPr>
          <w:rFonts w:cs="Arial"/>
          <w:i/>
          <w:iCs/>
          <w:color w:val="000000" w:themeColor="text1"/>
        </w:rPr>
        <w:t xml:space="preserve">T. </w:t>
      </w:r>
      <w:proofErr w:type="spellStart"/>
      <w:r w:rsidRPr="2F66B5B4">
        <w:rPr>
          <w:rFonts w:cs="Arial"/>
          <w:i/>
          <w:iCs/>
          <w:color w:val="000000" w:themeColor="text1"/>
        </w:rPr>
        <w:t>reesei</w:t>
      </w:r>
      <w:proofErr w:type="spellEnd"/>
      <w:r w:rsidRPr="2F66B5B4">
        <w:rPr>
          <w:rFonts w:cs="Arial"/>
          <w:color w:val="000000" w:themeColor="text1"/>
        </w:rPr>
        <w:t xml:space="preserve"> (</w:t>
      </w:r>
      <w:proofErr w:type="spellStart"/>
      <w:r w:rsidRPr="2F66B5B4">
        <w:rPr>
          <w:rFonts w:cs="Arial"/>
          <w:color w:val="000000" w:themeColor="text1"/>
        </w:rPr>
        <w:t>Olempska</w:t>
      </w:r>
      <w:proofErr w:type="spellEnd"/>
      <w:r w:rsidRPr="2F66B5B4">
        <w:rPr>
          <w:rFonts w:cs="Arial"/>
          <w:color w:val="000000" w:themeColor="text1"/>
        </w:rPr>
        <w:t>-Beer et al</w:t>
      </w:r>
      <w:r w:rsidRPr="2F66B5B4">
        <w:rPr>
          <w:rFonts w:cs="Arial"/>
          <w:i/>
          <w:iCs/>
          <w:color w:val="000000" w:themeColor="text1"/>
        </w:rPr>
        <w:t>.</w:t>
      </w:r>
      <w:r w:rsidRPr="2F66B5B4">
        <w:rPr>
          <w:rFonts w:cs="Arial"/>
          <w:color w:val="000000" w:themeColor="text1"/>
        </w:rPr>
        <w:t xml:space="preserve"> 2006) and has been registered with the American Type Culture Collection under ATCC13631. </w:t>
      </w:r>
      <w:r w:rsidRPr="2F66B5B4">
        <w:rPr>
          <w:rFonts w:cs="Arial"/>
        </w:rPr>
        <w:t xml:space="preserve">Strain QM6a is the wild type of practically all </w:t>
      </w:r>
      <w:r w:rsidRPr="2F66B5B4">
        <w:rPr>
          <w:rFonts w:cs="Arial"/>
          <w:i/>
          <w:iCs/>
        </w:rPr>
        <w:t>T</w:t>
      </w:r>
      <w:r w:rsidR="000615A0" w:rsidRPr="2F66B5B4">
        <w:rPr>
          <w:rFonts w:cs="Arial"/>
          <w:i/>
          <w:iCs/>
        </w:rPr>
        <w:t>.</w:t>
      </w:r>
      <w:r w:rsidRPr="2F66B5B4">
        <w:rPr>
          <w:rFonts w:cs="Arial"/>
          <w:i/>
          <w:iCs/>
        </w:rPr>
        <w:t xml:space="preserve"> </w:t>
      </w:r>
      <w:proofErr w:type="spellStart"/>
      <w:r w:rsidRPr="2F66B5B4">
        <w:rPr>
          <w:rFonts w:cs="Arial"/>
          <w:i/>
          <w:iCs/>
        </w:rPr>
        <w:t>reesei</w:t>
      </w:r>
      <w:proofErr w:type="spellEnd"/>
      <w:r w:rsidRPr="2F66B5B4">
        <w:rPr>
          <w:rFonts w:cs="Arial"/>
        </w:rPr>
        <w:t xml:space="preserve"> industrial production strains (</w:t>
      </w:r>
      <w:proofErr w:type="spellStart"/>
      <w:r w:rsidRPr="2F66B5B4">
        <w:rPr>
          <w:rFonts w:cs="Arial"/>
        </w:rPr>
        <w:t>Nevalainenet</w:t>
      </w:r>
      <w:proofErr w:type="spellEnd"/>
      <w:r w:rsidRPr="2F66B5B4">
        <w:rPr>
          <w:rFonts w:cs="Arial"/>
        </w:rPr>
        <w:t xml:space="preserve">  et al. 1994). Due to the secretion of a range of cellulolytic enzymes, this fungus has been used since the 1980s for the industrial production of enzymes for a range of industries including food (</w:t>
      </w:r>
      <w:proofErr w:type="spellStart"/>
      <w:r w:rsidRPr="2F66B5B4">
        <w:rPr>
          <w:rFonts w:cs="Arial"/>
        </w:rPr>
        <w:t>Nevalainen</w:t>
      </w:r>
      <w:proofErr w:type="spellEnd"/>
      <w:r w:rsidRPr="2F66B5B4">
        <w:rPr>
          <w:rFonts w:cs="Arial"/>
        </w:rPr>
        <w:t xml:space="preserve"> and Peterson 2014; </w:t>
      </w:r>
      <w:proofErr w:type="spellStart"/>
      <w:r w:rsidRPr="2F66B5B4">
        <w:rPr>
          <w:rFonts w:cs="Arial"/>
        </w:rPr>
        <w:t>Paloheimo</w:t>
      </w:r>
      <w:proofErr w:type="spellEnd"/>
      <w:r w:rsidRPr="2F66B5B4">
        <w:rPr>
          <w:rFonts w:cs="Arial"/>
        </w:rPr>
        <w:t xml:space="preserve"> et al. 2016).</w:t>
      </w:r>
    </w:p>
    <w:p w14:paraId="748BB617" w14:textId="2D13D149" w:rsidR="00562970" w:rsidRDefault="00562970" w:rsidP="007B6EF9">
      <w:pPr>
        <w:spacing w:after="240"/>
        <w:rPr>
          <w:rFonts w:cs="Arial"/>
        </w:rPr>
      </w:pPr>
      <w:r w:rsidRPr="5E315D8F">
        <w:rPr>
          <w:rFonts w:eastAsia="Arial" w:cs="Arial"/>
        </w:rPr>
        <w:t xml:space="preserve">Several review papers support the safety of </w:t>
      </w:r>
      <w:r w:rsidRPr="6BAAFDA6">
        <w:rPr>
          <w:rFonts w:eastAsia="Arial" w:cs="Arial"/>
          <w:i/>
          <w:iCs/>
        </w:rPr>
        <w:t xml:space="preserve">T. </w:t>
      </w:r>
      <w:proofErr w:type="spellStart"/>
      <w:r w:rsidRPr="6BAAFDA6">
        <w:rPr>
          <w:rFonts w:eastAsia="Arial" w:cs="Arial"/>
          <w:i/>
          <w:iCs/>
        </w:rPr>
        <w:t>reesei</w:t>
      </w:r>
      <w:proofErr w:type="spellEnd"/>
      <w:r w:rsidRPr="5E315D8F">
        <w:rPr>
          <w:rFonts w:eastAsia="Arial" w:cs="Arial"/>
        </w:rPr>
        <w:t xml:space="preserve"> with no production of</w:t>
      </w:r>
      <w:r>
        <w:rPr>
          <w:rFonts w:eastAsia="Arial" w:cs="Arial"/>
        </w:rPr>
        <w:t xml:space="preserve"> known</w:t>
      </w:r>
      <w:r w:rsidRPr="5E315D8F">
        <w:rPr>
          <w:rFonts w:eastAsia="Arial" w:cs="Arial"/>
        </w:rPr>
        <w:t xml:space="preserve"> mycotoxins or antibiotics under conditions used for enzyme production (</w:t>
      </w:r>
      <w:proofErr w:type="spellStart"/>
      <w:r w:rsidRPr="5E315D8F">
        <w:rPr>
          <w:rFonts w:eastAsia="Arial" w:cs="Arial"/>
        </w:rPr>
        <w:t>Nevalainen</w:t>
      </w:r>
      <w:proofErr w:type="spellEnd"/>
      <w:r w:rsidRPr="5E315D8F">
        <w:rPr>
          <w:rFonts w:eastAsia="Arial" w:cs="Arial"/>
        </w:rPr>
        <w:t xml:space="preserve"> et al. 1994; </w:t>
      </w:r>
      <w:proofErr w:type="spellStart"/>
      <w:r w:rsidRPr="5E315D8F">
        <w:rPr>
          <w:rFonts w:eastAsia="Arial" w:cs="Arial"/>
        </w:rPr>
        <w:t>Kubicek</w:t>
      </w:r>
      <w:proofErr w:type="spellEnd"/>
      <w:r w:rsidRPr="5E315D8F">
        <w:rPr>
          <w:rFonts w:eastAsia="Arial" w:cs="Arial"/>
        </w:rPr>
        <w:t xml:space="preserve"> et al. 2007; Peterson and </w:t>
      </w:r>
      <w:proofErr w:type="spellStart"/>
      <w:r w:rsidRPr="5E315D8F">
        <w:rPr>
          <w:rFonts w:eastAsia="Arial" w:cs="Arial"/>
        </w:rPr>
        <w:t>Nevalainen</w:t>
      </w:r>
      <w:proofErr w:type="spellEnd"/>
      <w:r w:rsidRPr="5E315D8F">
        <w:rPr>
          <w:rFonts w:eastAsia="Arial" w:cs="Arial"/>
        </w:rPr>
        <w:t xml:space="preserve"> 2012; </w:t>
      </w:r>
      <w:proofErr w:type="spellStart"/>
      <w:r w:rsidRPr="5E315D8F">
        <w:rPr>
          <w:rFonts w:eastAsia="Arial" w:cs="Arial"/>
        </w:rPr>
        <w:t>Frisvad</w:t>
      </w:r>
      <w:proofErr w:type="spellEnd"/>
      <w:r w:rsidRPr="5E315D8F">
        <w:rPr>
          <w:rFonts w:eastAsia="Arial" w:cs="Arial"/>
        </w:rPr>
        <w:t xml:space="preserve"> et al. 2018). It is listed as Risk Group 1 in the microorganism classification lists of the </w:t>
      </w:r>
      <w:r w:rsidRPr="5E315D8F">
        <w:rPr>
          <w:rFonts w:eastAsia="Arial" w:cs="Arial"/>
          <w:color w:val="000000" w:themeColor="text1"/>
        </w:rPr>
        <w:t>German Federal Institute for Occupational Safety and Health</w:t>
      </w:r>
      <w:r>
        <w:rPr>
          <w:rFonts w:eastAsia="Arial" w:cs="Arial"/>
          <w:color w:val="000000" w:themeColor="text1"/>
        </w:rPr>
        <w:t xml:space="preserve"> </w:t>
      </w:r>
      <w:r w:rsidRPr="5E315D8F">
        <w:rPr>
          <w:rFonts w:eastAsia="Arial" w:cs="Arial"/>
          <w:color w:val="000000" w:themeColor="text1"/>
        </w:rPr>
        <w:t>(</w:t>
      </w:r>
      <w:proofErr w:type="spellStart"/>
      <w:r w:rsidRPr="5E315D8F">
        <w:rPr>
          <w:rFonts w:eastAsia="Arial" w:cs="Arial"/>
          <w:color w:val="000000" w:themeColor="text1"/>
        </w:rPr>
        <w:t>BAuA</w:t>
      </w:r>
      <w:proofErr w:type="spellEnd"/>
      <w:r w:rsidRPr="5E315D8F">
        <w:rPr>
          <w:rFonts w:eastAsia="Arial" w:cs="Arial"/>
          <w:color w:val="000000" w:themeColor="text1"/>
        </w:rPr>
        <w:t xml:space="preserve"> 2016) and </w:t>
      </w:r>
      <w:r>
        <w:rPr>
          <w:rFonts w:cs="Arial"/>
          <w:color w:val="000000"/>
        </w:rPr>
        <w:t xml:space="preserve">meets the requirements of a Biosafety Level 1 organism based on the </w:t>
      </w:r>
      <w:r w:rsidRPr="00D01AAF">
        <w:rPr>
          <w:rFonts w:cs="Arial"/>
        </w:rPr>
        <w:t>Biosafety in Microbiological and Biomedical Laboratories</w:t>
      </w:r>
      <w:r w:rsidRPr="6BAAFDA6">
        <w:rPr>
          <w:rFonts w:cs="Arial"/>
          <w:b/>
          <w:bCs/>
          <w:i/>
          <w:iCs/>
          <w:vertAlign w:val="superscript"/>
        </w:rPr>
        <w:t xml:space="preserve">  </w:t>
      </w:r>
      <w:r>
        <w:rPr>
          <w:rFonts w:cs="Arial"/>
          <w:color w:val="000000"/>
        </w:rPr>
        <w:t>guidelines</w:t>
      </w:r>
      <w:r>
        <w:rPr>
          <w:rStyle w:val="FootnoteReference"/>
          <w:rFonts w:cs="Arial"/>
          <w:color w:val="000000"/>
        </w:rPr>
        <w:footnoteReference w:id="5"/>
      </w:r>
      <w:r w:rsidRPr="5E315D8F">
        <w:rPr>
          <w:rFonts w:eastAsia="Arial" w:cs="Arial"/>
          <w:color w:val="000000" w:themeColor="text1"/>
        </w:rPr>
        <w:t xml:space="preserve">. </w:t>
      </w:r>
    </w:p>
    <w:p w14:paraId="2ED59295" w14:textId="77777777" w:rsidR="00562970" w:rsidRDefault="00562970" w:rsidP="00562970">
      <w:pPr>
        <w:rPr>
          <w:rFonts w:cs="Arial"/>
        </w:rPr>
      </w:pPr>
      <w:r w:rsidRPr="6BAAFDA6">
        <w:rPr>
          <w:rFonts w:cs="Arial"/>
        </w:rPr>
        <w:t xml:space="preserve">FSANZ has previously assessed the safety of </w:t>
      </w:r>
      <w:r w:rsidRPr="6BAAFDA6">
        <w:rPr>
          <w:rFonts w:cs="Arial"/>
          <w:i/>
          <w:iCs/>
        </w:rPr>
        <w:t xml:space="preserve">T. </w:t>
      </w:r>
      <w:proofErr w:type="spellStart"/>
      <w:r w:rsidRPr="6BAAFDA6">
        <w:rPr>
          <w:rFonts w:cs="Arial"/>
          <w:i/>
          <w:iCs/>
        </w:rPr>
        <w:t>reesei</w:t>
      </w:r>
      <w:proofErr w:type="spellEnd"/>
      <w:r w:rsidRPr="6BAAFDA6">
        <w:rPr>
          <w:rFonts w:cs="Arial"/>
          <w:i/>
          <w:iCs/>
        </w:rPr>
        <w:t xml:space="preserve"> </w:t>
      </w:r>
      <w:r w:rsidRPr="6BAAFDA6">
        <w:rPr>
          <w:rFonts w:cs="Arial"/>
        </w:rPr>
        <w:t xml:space="preserve">as the source organism for 15 processing aids in Schedule 18. The </w:t>
      </w:r>
      <w:r w:rsidRPr="6BAAFDA6">
        <w:rPr>
          <w:rFonts w:cs="Arial"/>
          <w:i/>
          <w:iCs/>
        </w:rPr>
        <w:t xml:space="preserve">T. </w:t>
      </w:r>
      <w:proofErr w:type="spellStart"/>
      <w:r w:rsidRPr="6BAAFDA6">
        <w:rPr>
          <w:rFonts w:cs="Arial"/>
          <w:i/>
          <w:iCs/>
        </w:rPr>
        <w:t>reesei</w:t>
      </w:r>
      <w:proofErr w:type="spellEnd"/>
      <w:r w:rsidRPr="6BAAFDA6">
        <w:rPr>
          <w:rFonts w:cs="Arial"/>
        </w:rPr>
        <w:t xml:space="preserve"> production strain in this application was developed from the well-known type strain QM6a. The </w:t>
      </w:r>
      <w:r w:rsidRPr="6BAAFDA6">
        <w:rPr>
          <w:rFonts w:cs="Arial"/>
          <w:i/>
          <w:iCs/>
        </w:rPr>
        <w:t xml:space="preserve">T. </w:t>
      </w:r>
      <w:proofErr w:type="spellStart"/>
      <w:r w:rsidRPr="6BAAFDA6">
        <w:rPr>
          <w:rFonts w:cs="Arial"/>
          <w:i/>
          <w:iCs/>
        </w:rPr>
        <w:t>reesei</w:t>
      </w:r>
      <w:proofErr w:type="spellEnd"/>
      <w:r w:rsidRPr="6BAAFDA6">
        <w:rPr>
          <w:rFonts w:cs="Arial"/>
        </w:rPr>
        <w:t xml:space="preserve"> strain RUT-C30 (ATCC 56765) was developed from QM6a. The RUT-C30 strain is well known and documented (Peterson and </w:t>
      </w:r>
      <w:proofErr w:type="spellStart"/>
      <w:r w:rsidRPr="6BAAFDA6">
        <w:rPr>
          <w:rFonts w:cs="Arial"/>
        </w:rPr>
        <w:t>Nevalainen</w:t>
      </w:r>
      <w:proofErr w:type="spellEnd"/>
      <w:r w:rsidRPr="6BAAFDA6">
        <w:rPr>
          <w:rFonts w:cs="Arial"/>
        </w:rPr>
        <w:t xml:space="preserve"> 2012). The recipient strain used in the construction of the </w:t>
      </w:r>
      <w:r w:rsidRPr="6BAAFDA6">
        <w:rPr>
          <w:rFonts w:cs="Arial"/>
          <w:i/>
          <w:iCs/>
        </w:rPr>
        <w:t xml:space="preserve">T. </w:t>
      </w:r>
      <w:proofErr w:type="spellStart"/>
      <w:r w:rsidRPr="6BAAFDA6">
        <w:rPr>
          <w:rFonts w:cs="Arial"/>
          <w:i/>
          <w:iCs/>
        </w:rPr>
        <w:t>reesei</w:t>
      </w:r>
      <w:proofErr w:type="spellEnd"/>
      <w:r w:rsidRPr="6BAAFDA6">
        <w:rPr>
          <w:rFonts w:cs="Arial"/>
        </w:rPr>
        <w:t xml:space="preserve"> production strain was derived from the RUT-C30 parental strain by a series of classical mutagenesis steps and spontaneous mutations. Data confirming the identity of the recipient strain was provided in the application. </w:t>
      </w:r>
    </w:p>
    <w:p w14:paraId="6CDFC211" w14:textId="151E9B94" w:rsidR="00C70966" w:rsidRPr="00CD3AFB" w:rsidRDefault="00562970" w:rsidP="007B6EF9">
      <w:pPr>
        <w:spacing w:before="240"/>
      </w:pPr>
      <w:r>
        <w:rPr>
          <w:iCs/>
          <w:color w:val="000000" w:themeColor="text1"/>
        </w:rPr>
        <w:t>The production organism is absent from the final enzyme preparation, the manufacturing process involves appropriate controls to prevent microbial contamination, and the microbial quality of the final enzyme preparation meets the specifications required by JECFA</w:t>
      </w:r>
      <w:r>
        <w:rPr>
          <w:rStyle w:val="FootnoteReference"/>
          <w:iCs/>
          <w:color w:val="000000" w:themeColor="text1"/>
        </w:rPr>
        <w:footnoteReference w:id="6"/>
      </w:r>
      <w:r>
        <w:rPr>
          <w:iCs/>
          <w:color w:val="000000" w:themeColor="text1"/>
        </w:rPr>
        <w:t xml:space="preserve">. </w:t>
      </w:r>
      <w:r w:rsidRPr="000D5988">
        <w:rPr>
          <w:rFonts w:cs="Arial"/>
        </w:rPr>
        <w:t xml:space="preserve">The </w:t>
      </w:r>
      <w:r>
        <w:rPr>
          <w:rFonts w:cs="Arial"/>
        </w:rPr>
        <w:t xml:space="preserve">production </w:t>
      </w:r>
      <w:r w:rsidRPr="000D5988">
        <w:rPr>
          <w:rFonts w:cs="Arial"/>
        </w:rPr>
        <w:t xml:space="preserve">strain stability during </w:t>
      </w:r>
      <w:r>
        <w:rPr>
          <w:rFonts w:cs="Arial"/>
        </w:rPr>
        <w:t>f</w:t>
      </w:r>
      <w:r w:rsidRPr="000D5988">
        <w:rPr>
          <w:rFonts w:cs="Arial"/>
        </w:rPr>
        <w:t xml:space="preserve">ermentation was analysed using phenotypic parameters </w:t>
      </w:r>
      <w:r>
        <w:rPr>
          <w:rFonts w:cs="Arial"/>
        </w:rPr>
        <w:t>with n</w:t>
      </w:r>
      <w:r w:rsidRPr="000D5988">
        <w:rPr>
          <w:rFonts w:cs="Arial"/>
        </w:rPr>
        <w:t>o instability observed.</w:t>
      </w:r>
    </w:p>
    <w:p w14:paraId="5744495A" w14:textId="0F2207C6" w:rsidR="00E7200A" w:rsidRDefault="00E7200A" w:rsidP="00AE6A3A">
      <w:pPr>
        <w:pStyle w:val="Heading3"/>
      </w:pPr>
      <w:bookmarkStart w:id="22" w:name="_Toc121322363"/>
      <w:r>
        <w:t>3.1.2 Gene donor organisms</w:t>
      </w:r>
      <w:bookmarkEnd w:id="22"/>
    </w:p>
    <w:p w14:paraId="74B5767A" w14:textId="4F31C936" w:rsidR="00133323" w:rsidRPr="00133323" w:rsidRDefault="00133323" w:rsidP="00133323">
      <w:pPr>
        <w:widowControl/>
        <w:spacing w:before="120" w:after="120" w:line="259" w:lineRule="auto"/>
      </w:pPr>
      <w:proofErr w:type="spellStart"/>
      <w:r w:rsidRPr="00133323">
        <w:rPr>
          <w:rFonts w:eastAsia="Arial" w:cs="Arial"/>
          <w:i/>
          <w:iCs/>
          <w:szCs w:val="22"/>
        </w:rPr>
        <w:t>Talaromyces</w:t>
      </w:r>
      <w:proofErr w:type="spellEnd"/>
      <w:r w:rsidRPr="00133323">
        <w:rPr>
          <w:rFonts w:eastAsia="Arial" w:cs="Arial"/>
          <w:i/>
          <w:iCs/>
          <w:szCs w:val="22"/>
        </w:rPr>
        <w:t xml:space="preserve"> </w:t>
      </w:r>
      <w:proofErr w:type="spellStart"/>
      <w:r w:rsidRPr="00133323">
        <w:rPr>
          <w:rFonts w:eastAsia="Arial" w:cs="Arial"/>
          <w:i/>
          <w:iCs/>
          <w:szCs w:val="22"/>
        </w:rPr>
        <w:t>leycettanus</w:t>
      </w:r>
      <w:proofErr w:type="spellEnd"/>
    </w:p>
    <w:p w14:paraId="7DB06F94" w14:textId="1EF32587" w:rsidR="00133323" w:rsidRPr="00133323" w:rsidRDefault="00133323" w:rsidP="0033641F">
      <w:pPr>
        <w:widowControl/>
        <w:spacing w:before="120" w:after="120" w:line="259" w:lineRule="auto"/>
      </w:pPr>
      <w:r w:rsidRPr="00133323">
        <w:rPr>
          <w:rFonts w:eastAsia="Arial" w:cs="Arial"/>
          <w:szCs w:val="22"/>
        </w:rPr>
        <w:t xml:space="preserve">The donor organism of the </w:t>
      </w:r>
      <w:r w:rsidR="00EC046C">
        <w:rPr>
          <w:rFonts w:eastAsia="Arial" w:cs="Arial"/>
          <w:szCs w:val="22"/>
        </w:rPr>
        <w:t xml:space="preserve">endo-1,4-beta-xylanase </w:t>
      </w:r>
      <w:r w:rsidRPr="00133323">
        <w:rPr>
          <w:rFonts w:eastAsia="Arial" w:cs="Arial"/>
          <w:szCs w:val="22"/>
        </w:rPr>
        <w:t xml:space="preserve">gene is a </w:t>
      </w:r>
      <w:r w:rsidRPr="00133323">
        <w:rPr>
          <w:rFonts w:eastAsia="Arial" w:cs="Arial"/>
          <w:i/>
          <w:iCs/>
          <w:szCs w:val="22"/>
        </w:rPr>
        <w:t>T</w:t>
      </w:r>
      <w:r w:rsidR="00A63E0D">
        <w:rPr>
          <w:rFonts w:eastAsia="Arial" w:cs="Arial"/>
          <w:i/>
          <w:iCs/>
          <w:szCs w:val="22"/>
        </w:rPr>
        <w:t>.</w:t>
      </w:r>
      <w:r w:rsidRPr="00133323">
        <w:rPr>
          <w:rFonts w:eastAsia="Arial" w:cs="Arial"/>
          <w:i/>
          <w:iCs/>
          <w:szCs w:val="22"/>
        </w:rPr>
        <w:t xml:space="preserve"> </w:t>
      </w:r>
      <w:proofErr w:type="spellStart"/>
      <w:r w:rsidRPr="00133323">
        <w:rPr>
          <w:rFonts w:eastAsia="Arial" w:cs="Arial"/>
          <w:i/>
          <w:iCs/>
          <w:szCs w:val="22"/>
        </w:rPr>
        <w:t>leycettanus</w:t>
      </w:r>
      <w:proofErr w:type="spellEnd"/>
      <w:r w:rsidRPr="00133323">
        <w:rPr>
          <w:rFonts w:eastAsia="Arial" w:cs="Arial"/>
          <w:szCs w:val="22"/>
        </w:rPr>
        <w:t xml:space="preserve"> strain</w:t>
      </w:r>
      <w:r w:rsidR="00F8501F">
        <w:rPr>
          <w:rFonts w:eastAsia="Arial" w:cs="Arial"/>
          <w:szCs w:val="22"/>
        </w:rPr>
        <w:t xml:space="preserve"> and is </w:t>
      </w:r>
      <w:r w:rsidR="00D9463E">
        <w:rPr>
          <w:rFonts w:eastAsia="Arial" w:cs="Arial"/>
          <w:szCs w:val="22"/>
        </w:rPr>
        <w:t>a biosafety level 1 organism with no safety concerns</w:t>
      </w:r>
      <w:r w:rsidR="00DB479A">
        <w:rPr>
          <w:rFonts w:eastAsia="Arial" w:cs="Arial"/>
          <w:szCs w:val="22"/>
        </w:rPr>
        <w:t>.</w:t>
      </w:r>
      <w:r w:rsidRPr="00133323">
        <w:rPr>
          <w:rFonts w:eastAsia="Arial" w:cs="Arial"/>
          <w:szCs w:val="22"/>
        </w:rPr>
        <w:t xml:space="preserve"> </w:t>
      </w:r>
    </w:p>
    <w:p w14:paraId="7CC85199" w14:textId="2FA1BBC2" w:rsidR="00E7200A" w:rsidRDefault="00E7200A" w:rsidP="00642A92">
      <w:pPr>
        <w:pStyle w:val="Heading2"/>
        <w:rPr>
          <w:lang w:eastAsia="en-AU"/>
        </w:rPr>
      </w:pPr>
      <w:bookmarkStart w:id="23" w:name="_Toc121322364"/>
      <w:r>
        <w:rPr>
          <w:lang w:eastAsia="en-AU"/>
        </w:rPr>
        <w:t>3.2 Characterisation of the genetic modification(s)</w:t>
      </w:r>
      <w:bookmarkEnd w:id="23"/>
    </w:p>
    <w:p w14:paraId="2FAB6192" w14:textId="771F9D08" w:rsidR="00F9711C" w:rsidRDefault="00F9711C" w:rsidP="00AE6A3A">
      <w:pPr>
        <w:pStyle w:val="Heading3"/>
      </w:pPr>
      <w:bookmarkStart w:id="24" w:name="_Toc121322365"/>
      <w:r>
        <w:t>3.2.1 Description of the DNA to be introduced and method of transformation</w:t>
      </w:r>
      <w:bookmarkEnd w:id="24"/>
    </w:p>
    <w:p w14:paraId="24DD78E8" w14:textId="3EAC501B" w:rsidR="2C9FC528" w:rsidRDefault="2C9FC528" w:rsidP="7702A7C2">
      <w:pPr>
        <w:rPr>
          <w:rFonts w:eastAsia="Arial" w:cs="Arial"/>
          <w:color w:val="000000" w:themeColor="text1"/>
          <w:szCs w:val="22"/>
        </w:rPr>
      </w:pPr>
      <w:r w:rsidRPr="7702A7C2">
        <w:rPr>
          <w:rStyle w:val="normaltextrun"/>
          <w:rFonts w:eastAsia="Arial" w:cs="Arial"/>
          <w:color w:val="000000" w:themeColor="text1"/>
          <w:szCs w:val="22"/>
        </w:rPr>
        <w:t xml:space="preserve">An expression cassette containing the </w:t>
      </w:r>
      <w:r w:rsidR="00EC046C">
        <w:rPr>
          <w:rStyle w:val="normaltextrun"/>
          <w:rFonts w:eastAsia="Arial" w:cs="Arial"/>
          <w:color w:val="000000" w:themeColor="text1"/>
          <w:szCs w:val="22"/>
        </w:rPr>
        <w:t xml:space="preserve">endo-1,4-beta-xylanase </w:t>
      </w:r>
      <w:r w:rsidRPr="7702A7C2">
        <w:rPr>
          <w:rStyle w:val="normaltextrun"/>
          <w:rFonts w:eastAsia="Arial" w:cs="Arial"/>
          <w:color w:val="000000" w:themeColor="text1"/>
          <w:szCs w:val="22"/>
        </w:rPr>
        <w:t>gene was introduced into the genome of the host strain,</w:t>
      </w:r>
      <w:r w:rsidRPr="7702A7C2">
        <w:rPr>
          <w:rStyle w:val="normaltextrun"/>
          <w:rFonts w:eastAsia="Arial" w:cs="Arial"/>
          <w:i/>
          <w:iCs/>
          <w:color w:val="000000" w:themeColor="text1"/>
          <w:szCs w:val="22"/>
        </w:rPr>
        <w:t xml:space="preserve"> T. </w:t>
      </w:r>
      <w:proofErr w:type="spellStart"/>
      <w:r w:rsidRPr="7702A7C2">
        <w:rPr>
          <w:rStyle w:val="normaltextrun"/>
          <w:rFonts w:eastAsia="Arial" w:cs="Arial"/>
          <w:i/>
          <w:iCs/>
          <w:color w:val="000000" w:themeColor="text1"/>
          <w:szCs w:val="22"/>
        </w:rPr>
        <w:t>reesei</w:t>
      </w:r>
      <w:proofErr w:type="spellEnd"/>
      <w:r w:rsidRPr="7702A7C2">
        <w:rPr>
          <w:rStyle w:val="normaltextrun"/>
          <w:rFonts w:eastAsia="Arial" w:cs="Arial"/>
          <w:color w:val="000000" w:themeColor="text1"/>
          <w:szCs w:val="22"/>
        </w:rPr>
        <w:t>. The</w:t>
      </w:r>
      <w:r w:rsidR="00534B19">
        <w:rPr>
          <w:rStyle w:val="normaltextrun"/>
          <w:rFonts w:eastAsia="Arial" w:cs="Arial"/>
          <w:color w:val="000000" w:themeColor="text1"/>
          <w:szCs w:val="22"/>
        </w:rPr>
        <w:t xml:space="preserve"> </w:t>
      </w:r>
      <w:r w:rsidR="007B335B">
        <w:rPr>
          <w:rStyle w:val="normaltextrun"/>
          <w:rFonts w:eastAsia="Arial" w:cs="Arial"/>
          <w:color w:val="000000" w:themeColor="text1"/>
          <w:szCs w:val="22"/>
        </w:rPr>
        <w:t xml:space="preserve">wild type </w:t>
      </w:r>
      <w:r w:rsidR="00EC046C">
        <w:rPr>
          <w:rStyle w:val="normaltextrun"/>
          <w:rFonts w:eastAsia="Arial" w:cs="Arial"/>
          <w:color w:val="000000" w:themeColor="text1"/>
          <w:szCs w:val="22"/>
        </w:rPr>
        <w:t xml:space="preserve">endo-1,4-beta-xylanase </w:t>
      </w:r>
      <w:r w:rsidRPr="7702A7C2">
        <w:rPr>
          <w:rStyle w:val="normaltextrun"/>
          <w:rFonts w:eastAsia="Arial" w:cs="Arial"/>
          <w:color w:val="000000" w:themeColor="text1"/>
          <w:szCs w:val="22"/>
        </w:rPr>
        <w:t xml:space="preserve">gene is derived from </w:t>
      </w:r>
      <w:r w:rsidRPr="7702A7C2">
        <w:rPr>
          <w:rStyle w:val="normaltextrun"/>
          <w:rFonts w:eastAsia="Arial" w:cs="Arial"/>
          <w:i/>
          <w:iCs/>
          <w:color w:val="000000" w:themeColor="text1"/>
          <w:szCs w:val="22"/>
        </w:rPr>
        <w:t xml:space="preserve">T. </w:t>
      </w:r>
      <w:proofErr w:type="spellStart"/>
      <w:r w:rsidRPr="7702A7C2">
        <w:rPr>
          <w:rStyle w:val="normaltextrun"/>
          <w:rFonts w:eastAsia="Arial" w:cs="Arial"/>
          <w:i/>
          <w:iCs/>
          <w:color w:val="000000" w:themeColor="text1"/>
          <w:szCs w:val="22"/>
        </w:rPr>
        <w:t>leycettanus</w:t>
      </w:r>
      <w:proofErr w:type="spellEnd"/>
      <w:r w:rsidRPr="7702A7C2">
        <w:rPr>
          <w:rStyle w:val="normaltextrun"/>
          <w:rFonts w:eastAsia="Arial" w:cs="Arial"/>
          <w:color w:val="000000" w:themeColor="text1"/>
          <w:szCs w:val="22"/>
        </w:rPr>
        <w:t xml:space="preserve"> genomic DNA and placed under the control of a </w:t>
      </w:r>
      <w:r w:rsidRPr="7702A7C2">
        <w:rPr>
          <w:rStyle w:val="normaltextrun"/>
          <w:rFonts w:eastAsia="Arial" w:cs="Arial"/>
          <w:i/>
          <w:iCs/>
          <w:color w:val="000000" w:themeColor="text1"/>
          <w:szCs w:val="22"/>
        </w:rPr>
        <w:t xml:space="preserve">T. </w:t>
      </w:r>
      <w:proofErr w:type="spellStart"/>
      <w:r w:rsidRPr="7702A7C2">
        <w:rPr>
          <w:rStyle w:val="normaltextrun"/>
          <w:rFonts w:eastAsia="Arial" w:cs="Arial"/>
          <w:i/>
          <w:iCs/>
          <w:color w:val="000000" w:themeColor="text1"/>
          <w:szCs w:val="22"/>
        </w:rPr>
        <w:t>reesei</w:t>
      </w:r>
      <w:proofErr w:type="spellEnd"/>
      <w:r w:rsidRPr="7702A7C2">
        <w:rPr>
          <w:rStyle w:val="normaltextrun"/>
          <w:rFonts w:eastAsia="Arial" w:cs="Arial"/>
          <w:color w:val="000000" w:themeColor="text1"/>
          <w:szCs w:val="22"/>
        </w:rPr>
        <w:t xml:space="preserve"> promoter and </w:t>
      </w:r>
      <w:r w:rsidRPr="7702A7C2">
        <w:rPr>
          <w:rStyle w:val="normaltextrun"/>
          <w:rFonts w:eastAsia="Arial" w:cs="Arial"/>
          <w:color w:val="000000" w:themeColor="text1"/>
          <w:szCs w:val="22"/>
        </w:rPr>
        <w:lastRenderedPageBreak/>
        <w:t xml:space="preserve">terminator. Data provided by Novozymes and analysed by FSANZ confirmed the identity of the </w:t>
      </w:r>
      <w:r w:rsidR="00EC046C">
        <w:rPr>
          <w:rStyle w:val="normaltextrun"/>
          <w:rFonts w:eastAsia="Arial" w:cs="Arial"/>
          <w:color w:val="000000" w:themeColor="text1"/>
          <w:szCs w:val="22"/>
        </w:rPr>
        <w:t xml:space="preserve">endo-1,4-beta-xylanase </w:t>
      </w:r>
      <w:r w:rsidRPr="7702A7C2">
        <w:rPr>
          <w:rStyle w:val="normaltextrun"/>
          <w:rFonts w:eastAsia="Arial" w:cs="Arial"/>
          <w:color w:val="000000" w:themeColor="text1"/>
          <w:szCs w:val="22"/>
        </w:rPr>
        <w:t>enzyme.  </w:t>
      </w:r>
      <w:r w:rsidRPr="7702A7C2">
        <w:rPr>
          <w:rStyle w:val="eop"/>
          <w:rFonts w:eastAsia="Arial" w:cs="Arial"/>
          <w:color w:val="000000" w:themeColor="text1"/>
          <w:szCs w:val="22"/>
          <w:lang w:val="en-AU"/>
        </w:rPr>
        <w:t> </w:t>
      </w:r>
    </w:p>
    <w:p w14:paraId="0FA18247" w14:textId="3BCD8BFD" w:rsidR="2C9FC528" w:rsidRDefault="2C9FC528" w:rsidP="007B6EF9">
      <w:pPr>
        <w:spacing w:before="240"/>
        <w:rPr>
          <w:rFonts w:eastAsia="Arial" w:cs="Arial"/>
          <w:color w:val="000000" w:themeColor="text1"/>
          <w:szCs w:val="22"/>
        </w:rPr>
      </w:pPr>
      <w:r w:rsidRPr="7702A7C2">
        <w:rPr>
          <w:rStyle w:val="eop"/>
          <w:rFonts w:eastAsia="Arial" w:cs="Arial"/>
          <w:color w:val="000000" w:themeColor="text1"/>
          <w:szCs w:val="22"/>
          <w:lang w:val="en-AU"/>
        </w:rPr>
        <w:t> </w:t>
      </w:r>
      <w:r w:rsidRPr="7702A7C2">
        <w:rPr>
          <w:rStyle w:val="normaltextrun"/>
          <w:rFonts w:eastAsia="Arial" w:cs="Arial"/>
          <w:color w:val="000000" w:themeColor="text1"/>
          <w:szCs w:val="22"/>
        </w:rPr>
        <w:t xml:space="preserve">A hybrid </w:t>
      </w:r>
      <w:r w:rsidRPr="7702A7C2">
        <w:rPr>
          <w:rStyle w:val="normaltextrun"/>
          <w:rFonts w:eastAsia="Arial" w:cs="Arial"/>
          <w:i/>
          <w:iCs/>
          <w:color w:val="000000" w:themeColor="text1"/>
          <w:szCs w:val="22"/>
        </w:rPr>
        <w:t>Saccharomyces cerevisiae</w:t>
      </w:r>
      <w:r w:rsidRPr="7702A7C2">
        <w:rPr>
          <w:rStyle w:val="normaltextrun"/>
          <w:rFonts w:eastAsia="Arial" w:cs="Arial"/>
          <w:color w:val="000000" w:themeColor="text1"/>
          <w:szCs w:val="22"/>
        </w:rPr>
        <w:t>/</w:t>
      </w:r>
      <w:r w:rsidRPr="7702A7C2">
        <w:rPr>
          <w:rStyle w:val="normaltextrun"/>
          <w:rFonts w:eastAsia="Arial" w:cs="Arial"/>
          <w:i/>
          <w:iCs/>
          <w:color w:val="000000" w:themeColor="text1"/>
          <w:szCs w:val="22"/>
        </w:rPr>
        <w:t>Escherichia coli</w:t>
      </w:r>
      <w:r w:rsidRPr="7702A7C2">
        <w:rPr>
          <w:rStyle w:val="normaltextrun"/>
          <w:rFonts w:eastAsia="Arial" w:cs="Arial"/>
          <w:color w:val="000000" w:themeColor="text1"/>
          <w:szCs w:val="22"/>
        </w:rPr>
        <w:t xml:space="preserve"> vector containing the </w:t>
      </w:r>
      <w:r w:rsidR="00EC046C">
        <w:rPr>
          <w:rStyle w:val="normaltextrun"/>
          <w:rFonts w:eastAsia="Arial" w:cs="Arial"/>
          <w:color w:val="000000" w:themeColor="text1"/>
          <w:szCs w:val="22"/>
        </w:rPr>
        <w:t xml:space="preserve">endo-1,4-beta-xylanase </w:t>
      </w:r>
      <w:r w:rsidRPr="7702A7C2">
        <w:rPr>
          <w:rStyle w:val="normaltextrun"/>
          <w:rFonts w:eastAsia="Arial" w:cs="Arial"/>
          <w:color w:val="000000" w:themeColor="text1"/>
          <w:szCs w:val="22"/>
        </w:rPr>
        <w:t xml:space="preserve">expression cassette was used to transform the host strain. The expression cassette was integrated at specific integration sites in the host’s genome and the final production strain was selected based on rapid growth and high </w:t>
      </w:r>
      <w:r w:rsidR="00EC046C">
        <w:rPr>
          <w:rStyle w:val="normaltextrun"/>
          <w:rFonts w:eastAsia="Arial" w:cs="Arial"/>
          <w:color w:val="000000" w:themeColor="text1"/>
          <w:szCs w:val="22"/>
        </w:rPr>
        <w:t xml:space="preserve">endo-1,4-beta-xylanase </w:t>
      </w:r>
      <w:r w:rsidRPr="7702A7C2">
        <w:rPr>
          <w:rStyle w:val="normaltextrun"/>
          <w:rFonts w:eastAsia="Arial" w:cs="Arial"/>
          <w:color w:val="000000" w:themeColor="text1"/>
          <w:szCs w:val="22"/>
        </w:rPr>
        <w:t>activity.</w:t>
      </w:r>
    </w:p>
    <w:p w14:paraId="0892FD72" w14:textId="2C41E143" w:rsidR="00F9711C" w:rsidRDefault="00F9711C" w:rsidP="00AE6A3A">
      <w:pPr>
        <w:pStyle w:val="Heading3"/>
      </w:pPr>
      <w:bookmarkStart w:id="25" w:name="_Toc121322366"/>
      <w:r>
        <w:t>3.2.2 Characterisation of inserted DNA</w:t>
      </w:r>
      <w:bookmarkEnd w:id="25"/>
    </w:p>
    <w:p w14:paraId="4F9AEDB4" w14:textId="01A50941" w:rsidR="0BBD42F3" w:rsidRDefault="00036965" w:rsidP="7702A7C2">
      <w:pPr>
        <w:rPr>
          <w:rFonts w:eastAsia="Arial" w:cs="Arial"/>
          <w:szCs w:val="22"/>
        </w:rPr>
      </w:pPr>
      <w:r>
        <w:rPr>
          <w:rStyle w:val="normaltextrun"/>
          <w:rFonts w:eastAsia="Arial" w:cs="Arial"/>
          <w:color w:val="000000" w:themeColor="text1"/>
          <w:szCs w:val="22"/>
        </w:rPr>
        <w:t>Southern blot d</w:t>
      </w:r>
      <w:r w:rsidR="0BBD42F3" w:rsidRPr="7702A7C2">
        <w:rPr>
          <w:rStyle w:val="normaltextrun"/>
          <w:rFonts w:eastAsia="Arial" w:cs="Arial"/>
          <w:color w:val="000000" w:themeColor="text1"/>
          <w:szCs w:val="22"/>
        </w:rPr>
        <w:t>ata provided by Novozymes and analysed by FSANZ confirmed the presence of the inserted DNA in the production strain. The applicant also provided the results of genome sequencing which confirmed the absence of antibiotic resistance genes in the production strain.</w:t>
      </w:r>
      <w:r w:rsidR="0BBD42F3" w:rsidRPr="7702A7C2">
        <w:rPr>
          <w:rStyle w:val="eop"/>
          <w:rFonts w:eastAsia="Arial" w:cs="Arial"/>
          <w:color w:val="000000" w:themeColor="text1"/>
          <w:szCs w:val="22"/>
          <w:lang w:val="en-AU"/>
        </w:rPr>
        <w:t> </w:t>
      </w:r>
    </w:p>
    <w:p w14:paraId="16393FBF" w14:textId="1FD84E08" w:rsidR="00F9711C" w:rsidRDefault="00F9711C" w:rsidP="00AE6A3A">
      <w:pPr>
        <w:pStyle w:val="Heading3"/>
      </w:pPr>
      <w:bookmarkStart w:id="26" w:name="_Toc121322367"/>
      <w:r>
        <w:t>3.2.3 Genetic stability of the inserted gene</w:t>
      </w:r>
      <w:bookmarkEnd w:id="26"/>
    </w:p>
    <w:p w14:paraId="0F271EEC" w14:textId="4EFAB5C0" w:rsidR="5BCF810E" w:rsidRDefault="5BCF810E" w:rsidP="7702A7C2">
      <w:pPr>
        <w:spacing w:before="120" w:after="120" w:line="259" w:lineRule="auto"/>
        <w:rPr>
          <w:rFonts w:eastAsia="Arial" w:cs="Arial"/>
          <w:color w:val="000000" w:themeColor="text1"/>
          <w:szCs w:val="22"/>
        </w:rPr>
      </w:pPr>
      <w:r w:rsidRPr="7702A7C2">
        <w:rPr>
          <w:rFonts w:eastAsia="Arial" w:cs="Arial"/>
          <w:color w:val="000000" w:themeColor="text1"/>
          <w:szCs w:val="22"/>
        </w:rPr>
        <w:t xml:space="preserve">The assessment confirmed the inserted gene is integrated into the genome of the production strain and does not have the ability to replicate autonomously. The inserted gene is therefore considered to be genetically stable.  </w:t>
      </w:r>
    </w:p>
    <w:p w14:paraId="3CFD4B25" w14:textId="31B14905" w:rsidR="5BCF810E" w:rsidRDefault="5BCF810E" w:rsidP="7702A7C2">
      <w:pPr>
        <w:spacing w:before="120" w:after="120" w:line="259" w:lineRule="auto"/>
        <w:rPr>
          <w:rFonts w:eastAsia="Arial" w:cs="Arial"/>
          <w:color w:val="000000" w:themeColor="text1"/>
          <w:szCs w:val="22"/>
        </w:rPr>
      </w:pPr>
      <w:r w:rsidRPr="7702A7C2">
        <w:rPr>
          <w:rFonts w:eastAsia="Arial" w:cs="Arial"/>
          <w:color w:val="000000" w:themeColor="text1"/>
          <w:szCs w:val="22"/>
        </w:rPr>
        <w:t xml:space="preserve">To provide further evidence of the stability of the introduced gene, the applicant provided phenotypic data from large-scale fermentation of the production strain. These data confirmed that the gene encoding the </w:t>
      </w:r>
      <w:r w:rsidR="00EC046C">
        <w:rPr>
          <w:rFonts w:eastAsia="Arial" w:cs="Arial"/>
          <w:color w:val="000000" w:themeColor="text1"/>
          <w:szCs w:val="22"/>
        </w:rPr>
        <w:t xml:space="preserve">endo-1,4-beta-xylanase </w:t>
      </w:r>
      <w:r w:rsidRPr="7702A7C2">
        <w:rPr>
          <w:rFonts w:eastAsia="Arial" w:cs="Arial"/>
          <w:color w:val="000000" w:themeColor="text1"/>
          <w:szCs w:val="22"/>
        </w:rPr>
        <w:t>enzyme is expressed over multiple generations and is stable.</w:t>
      </w:r>
    </w:p>
    <w:p w14:paraId="64A02E4C" w14:textId="720E89F8" w:rsidR="00F9711C" w:rsidRDefault="00F9711C" w:rsidP="00642A92">
      <w:pPr>
        <w:pStyle w:val="Heading2"/>
        <w:rPr>
          <w:lang w:eastAsia="en-AU"/>
        </w:rPr>
      </w:pPr>
      <w:bookmarkStart w:id="27" w:name="_Toc121322368"/>
      <w:r>
        <w:rPr>
          <w:lang w:eastAsia="en-AU"/>
        </w:rPr>
        <w:t xml:space="preserve">3.3 Safety of </w:t>
      </w:r>
      <w:r w:rsidR="00282EEB">
        <w:rPr>
          <w:lang w:eastAsia="en-AU"/>
        </w:rPr>
        <w:t>endo-1,4</w:t>
      </w:r>
      <w:r w:rsidR="008A1D2B">
        <w:rPr>
          <w:lang w:eastAsia="en-AU"/>
        </w:rPr>
        <w:t>-</w:t>
      </w:r>
      <w:r w:rsidR="00282EEB">
        <w:rPr>
          <w:lang w:eastAsia="en-AU"/>
        </w:rPr>
        <w:t>beta-xylanase</w:t>
      </w:r>
      <w:bookmarkEnd w:id="27"/>
    </w:p>
    <w:p w14:paraId="35F619AA" w14:textId="17A431CD" w:rsidR="00F9711C" w:rsidRDefault="00F9711C" w:rsidP="00AE6A3A">
      <w:pPr>
        <w:pStyle w:val="Heading3"/>
      </w:pPr>
      <w:bookmarkStart w:id="28" w:name="_Toc121322369"/>
      <w:r>
        <w:t>3.3.1 History of safe use</w:t>
      </w:r>
      <w:bookmarkEnd w:id="28"/>
    </w:p>
    <w:p w14:paraId="3229FA19" w14:textId="471F0670" w:rsidR="009D68BB" w:rsidRPr="009D68BB" w:rsidRDefault="7692DBD5" w:rsidP="009D68BB">
      <w:pPr>
        <w:widowControl/>
        <w:spacing w:before="120" w:after="120" w:line="259" w:lineRule="auto"/>
        <w:rPr>
          <w:lang w:eastAsia="en-AU" w:bidi="ar-SA"/>
        </w:rPr>
      </w:pPr>
      <w:r w:rsidRPr="4136C568">
        <w:rPr>
          <w:lang w:eastAsia="en-AU" w:bidi="ar-SA"/>
        </w:rPr>
        <w:t>Multiple xylanase enzymes are currently permitted as processing aid</w:t>
      </w:r>
      <w:r w:rsidR="782F0798" w:rsidRPr="4136C568">
        <w:rPr>
          <w:lang w:eastAsia="en-AU" w:bidi="ar-SA"/>
        </w:rPr>
        <w:t>s</w:t>
      </w:r>
      <w:r w:rsidRPr="4136C568">
        <w:rPr>
          <w:lang w:eastAsia="en-AU" w:bidi="ar-SA"/>
        </w:rPr>
        <w:t xml:space="preserve"> in Schedule 18 of the Code. However, </w:t>
      </w:r>
      <w:r w:rsidRPr="4136C568">
        <w:rPr>
          <w:i/>
          <w:iCs/>
          <w:lang w:eastAsia="en-AU" w:bidi="ar-SA"/>
        </w:rPr>
        <w:t xml:space="preserve">T. </w:t>
      </w:r>
      <w:proofErr w:type="spellStart"/>
      <w:r w:rsidRPr="4136C568">
        <w:rPr>
          <w:i/>
          <w:iCs/>
          <w:lang w:eastAsia="en-AU" w:bidi="ar-SA"/>
        </w:rPr>
        <w:t>leycettanus</w:t>
      </w:r>
      <w:proofErr w:type="spellEnd"/>
      <w:r w:rsidRPr="4136C568">
        <w:rPr>
          <w:lang w:eastAsia="en-AU" w:bidi="ar-SA"/>
        </w:rPr>
        <w:t xml:space="preserve"> </w:t>
      </w:r>
      <w:r w:rsidR="00EC046C">
        <w:rPr>
          <w:lang w:eastAsia="en-AU" w:bidi="ar-SA"/>
        </w:rPr>
        <w:t xml:space="preserve">endo-1,4-beta-xylanase </w:t>
      </w:r>
      <w:r w:rsidRPr="4136C568">
        <w:rPr>
          <w:lang w:eastAsia="en-AU" w:bidi="ar-SA"/>
        </w:rPr>
        <w:t>is not permitted and does not have a history of safe use in Australia or New Zealand. The applicant stated that the enzyme is approved for use in Denmark</w:t>
      </w:r>
      <w:r w:rsidR="00DA7AA6">
        <w:rPr>
          <w:lang w:eastAsia="en-AU" w:bidi="ar-SA"/>
        </w:rPr>
        <w:t xml:space="preserve"> (Jan</w:t>
      </w:r>
      <w:r w:rsidR="00E0041D">
        <w:rPr>
          <w:lang w:eastAsia="en-AU" w:bidi="ar-SA"/>
        </w:rPr>
        <w:t xml:space="preserve"> 2019)</w:t>
      </w:r>
      <w:r w:rsidRPr="4136C568">
        <w:rPr>
          <w:lang w:eastAsia="en-AU" w:bidi="ar-SA"/>
        </w:rPr>
        <w:t>, Mexico and Brazil.</w:t>
      </w:r>
    </w:p>
    <w:p w14:paraId="066C297A" w14:textId="544A1CA3" w:rsidR="006F6D8D" w:rsidRPr="004828B2" w:rsidRDefault="009D68BB" w:rsidP="0033641F">
      <w:pPr>
        <w:widowControl/>
        <w:spacing w:before="120" w:after="120" w:line="259" w:lineRule="auto"/>
        <w:rPr>
          <w:lang w:eastAsia="en-AU" w:bidi="ar-SA"/>
        </w:rPr>
      </w:pPr>
      <w:r w:rsidRPr="004828B2">
        <w:rPr>
          <w:lang w:eastAsia="en-AU" w:bidi="ar-SA"/>
        </w:rPr>
        <w:t xml:space="preserve">There are no known reports of adverse effects arising from the consumption of </w:t>
      </w:r>
      <w:r w:rsidR="00282EEB">
        <w:rPr>
          <w:lang w:eastAsia="en-AU" w:bidi="ar-SA"/>
        </w:rPr>
        <w:t>endo-1,4</w:t>
      </w:r>
      <w:r w:rsidR="00CC54A8">
        <w:rPr>
          <w:lang w:eastAsia="en-AU" w:bidi="ar-SA"/>
        </w:rPr>
        <w:t>-</w:t>
      </w:r>
      <w:r w:rsidR="00282EEB">
        <w:rPr>
          <w:lang w:eastAsia="en-AU" w:bidi="ar-SA"/>
        </w:rPr>
        <w:t>beta-xylanase</w:t>
      </w:r>
      <w:r w:rsidRPr="004828B2">
        <w:rPr>
          <w:lang w:eastAsia="en-AU" w:bidi="ar-SA"/>
        </w:rPr>
        <w:t xml:space="preserve">, nor </w:t>
      </w:r>
      <w:r w:rsidRPr="004828B2">
        <w:rPr>
          <w:i/>
          <w:lang w:eastAsia="en-AU" w:bidi="ar-SA"/>
        </w:rPr>
        <w:t xml:space="preserve">T. </w:t>
      </w:r>
      <w:proofErr w:type="spellStart"/>
      <w:r w:rsidRPr="004828B2">
        <w:rPr>
          <w:i/>
          <w:lang w:eastAsia="en-AU" w:bidi="ar-SA"/>
        </w:rPr>
        <w:t>leycettanus</w:t>
      </w:r>
      <w:proofErr w:type="spellEnd"/>
      <w:r w:rsidRPr="004828B2">
        <w:rPr>
          <w:i/>
          <w:lang w:eastAsia="en-AU" w:bidi="ar-SA"/>
        </w:rPr>
        <w:t xml:space="preserve"> </w:t>
      </w:r>
      <w:r w:rsidR="00282EEB">
        <w:rPr>
          <w:lang w:eastAsia="en-AU" w:bidi="ar-SA"/>
        </w:rPr>
        <w:t>endo-1,4</w:t>
      </w:r>
      <w:r w:rsidR="00CC54A8">
        <w:rPr>
          <w:lang w:eastAsia="en-AU" w:bidi="ar-SA"/>
        </w:rPr>
        <w:t>-</w:t>
      </w:r>
      <w:r w:rsidR="00282EEB">
        <w:rPr>
          <w:lang w:eastAsia="en-AU" w:bidi="ar-SA"/>
        </w:rPr>
        <w:t>beta-xylanase</w:t>
      </w:r>
      <w:r w:rsidRPr="004828B2">
        <w:rPr>
          <w:lang w:eastAsia="en-AU" w:bidi="ar-SA"/>
        </w:rPr>
        <w:t>, when used as a processing aid.</w:t>
      </w:r>
    </w:p>
    <w:p w14:paraId="4F88391C" w14:textId="77777777" w:rsidR="00F9711C" w:rsidRDefault="00E22525" w:rsidP="00AE6A3A">
      <w:pPr>
        <w:pStyle w:val="Heading3"/>
      </w:pPr>
      <w:bookmarkStart w:id="29" w:name="_Toc121322370"/>
      <w:r>
        <w:t xml:space="preserve">3.3.2 Bioinformatics </w:t>
      </w:r>
      <w:r w:rsidR="00944B1A">
        <w:t xml:space="preserve">assessment for enzyme </w:t>
      </w:r>
      <w:r>
        <w:t>toxicity</w:t>
      </w:r>
      <w:bookmarkEnd w:id="29"/>
    </w:p>
    <w:p w14:paraId="1389E3C8" w14:textId="3DA70DC9" w:rsidR="00117B4B" w:rsidRPr="00117B4B" w:rsidRDefault="7AF92947" w:rsidP="00117B4B">
      <w:pPr>
        <w:widowControl/>
        <w:spacing w:before="120" w:after="120" w:line="259" w:lineRule="auto"/>
        <w:rPr>
          <w:lang w:eastAsia="en-AU" w:bidi="ar-SA"/>
        </w:rPr>
      </w:pPr>
      <w:r w:rsidRPr="00B56491">
        <w:rPr>
          <w:lang w:eastAsia="en-AU" w:bidi="ar-SA"/>
        </w:rPr>
        <w:t xml:space="preserve">A </w:t>
      </w:r>
      <w:proofErr w:type="spellStart"/>
      <w:r w:rsidRPr="00B56491">
        <w:rPr>
          <w:lang w:eastAsia="en-AU" w:bidi="ar-SA"/>
        </w:rPr>
        <w:t>Clustal</w:t>
      </w:r>
      <w:proofErr w:type="spellEnd"/>
      <w:r w:rsidRPr="00B56491">
        <w:rPr>
          <w:lang w:eastAsia="en-AU" w:bidi="ar-SA"/>
        </w:rPr>
        <w:t xml:space="preserve"> alignment (</w:t>
      </w:r>
      <w:proofErr w:type="spellStart"/>
      <w:r w:rsidR="00753E28">
        <w:fldChar w:fldCharType="begin"/>
      </w:r>
      <w:r w:rsidR="00753E28">
        <w:instrText>HYPERLINK "http://www.clustal.org/clustal2/"</w:instrText>
      </w:r>
      <w:r w:rsidR="00753E28">
        <w:fldChar w:fldCharType="separate"/>
      </w:r>
      <w:r w:rsidRPr="00DA79B7">
        <w:rPr>
          <w:rStyle w:val="Hyperlink"/>
          <w:lang w:eastAsia="en-AU" w:bidi="ar-SA"/>
        </w:rPr>
        <w:t>ClustalW</w:t>
      </w:r>
      <w:proofErr w:type="spellEnd"/>
      <w:r w:rsidRPr="00DA79B7">
        <w:rPr>
          <w:rStyle w:val="Hyperlink"/>
          <w:lang w:eastAsia="en-AU" w:bidi="ar-SA"/>
        </w:rPr>
        <w:t xml:space="preserve"> 2.0.10</w:t>
      </w:r>
      <w:r w:rsidR="00753E28">
        <w:rPr>
          <w:rStyle w:val="Hyperlink"/>
          <w:lang w:eastAsia="en-AU" w:bidi="ar-SA"/>
        </w:rPr>
        <w:fldChar w:fldCharType="end"/>
      </w:r>
      <w:r w:rsidR="00994831">
        <w:rPr>
          <w:rStyle w:val="FootnoteReference"/>
          <w:lang w:eastAsia="en-AU" w:bidi="ar-SA"/>
        </w:rPr>
        <w:footnoteReference w:id="7"/>
      </w:r>
      <w:r w:rsidRPr="00B56491">
        <w:rPr>
          <w:lang w:eastAsia="en-AU" w:bidi="ar-SA"/>
        </w:rPr>
        <w:t>)</w:t>
      </w:r>
      <w:r>
        <w:rPr>
          <w:lang w:eastAsia="en-AU" w:bidi="ar-SA"/>
        </w:rPr>
        <w:t xml:space="preserve"> </w:t>
      </w:r>
      <w:r w:rsidRPr="00B56491">
        <w:rPr>
          <w:lang w:eastAsia="en-AU" w:bidi="ar-SA"/>
        </w:rPr>
        <w:t>was performed</w:t>
      </w:r>
      <w:r w:rsidRPr="00117B4B">
        <w:rPr>
          <w:lang w:eastAsia="en-AU" w:bidi="ar-SA"/>
        </w:rPr>
        <w:t xml:space="preserve"> </w:t>
      </w:r>
      <w:r w:rsidR="548EB127" w:rsidRPr="00117B4B">
        <w:rPr>
          <w:lang w:eastAsia="en-AU" w:bidi="ar-SA"/>
        </w:rPr>
        <w:t xml:space="preserve">by the applicant comparing the </w:t>
      </w:r>
      <w:r w:rsidR="00EC046C">
        <w:rPr>
          <w:lang w:eastAsia="en-AU" w:bidi="ar-SA"/>
        </w:rPr>
        <w:t xml:space="preserve">endo-1,4-beta-xylanase </w:t>
      </w:r>
      <w:r w:rsidR="548EB127" w:rsidRPr="00117B4B">
        <w:rPr>
          <w:lang w:eastAsia="en-AU" w:bidi="ar-SA"/>
        </w:rPr>
        <w:t xml:space="preserve">protein sequence against all sequences </w:t>
      </w:r>
      <w:r w:rsidR="7693E1E1" w:rsidRPr="00CB2A9C">
        <w:rPr>
          <w:lang w:eastAsia="en-AU" w:bidi="ar-SA"/>
        </w:rPr>
        <w:t xml:space="preserve">in </w:t>
      </w:r>
      <w:r w:rsidR="7693E1E1" w:rsidRPr="4136C568">
        <w:rPr>
          <w:lang w:val="en-AU"/>
        </w:rPr>
        <w:t xml:space="preserve">the </w:t>
      </w:r>
      <w:hyperlink r:id="rId20" w:history="1">
        <w:proofErr w:type="spellStart"/>
        <w:r w:rsidR="7693E1E1" w:rsidRPr="4136C568">
          <w:rPr>
            <w:rStyle w:val="Hyperlink"/>
            <w:lang w:val="en-AU"/>
          </w:rPr>
          <w:t>UniProt</w:t>
        </w:r>
        <w:proofErr w:type="spellEnd"/>
      </w:hyperlink>
      <w:r w:rsidR="004E7F2E" w:rsidRPr="4136C568">
        <w:rPr>
          <w:rStyle w:val="FootnoteReference"/>
          <w:lang w:val="en-AU"/>
        </w:rPr>
        <w:footnoteReference w:id="8"/>
      </w:r>
      <w:r w:rsidR="7693E1E1" w:rsidRPr="4136C568">
        <w:rPr>
          <w:lang w:val="en-AU"/>
        </w:rPr>
        <w:t xml:space="preserve"> database </w:t>
      </w:r>
      <w:r w:rsidR="548EB127" w:rsidRPr="4136C568">
        <w:rPr>
          <w:lang w:val="en-AU"/>
        </w:rPr>
        <w:t xml:space="preserve">(release: 2021-02-15) </w:t>
      </w:r>
      <w:r w:rsidR="548EB127" w:rsidRPr="00117B4B">
        <w:rPr>
          <w:lang w:eastAsia="en-AU" w:bidi="ar-SA"/>
        </w:rPr>
        <w:t>that contained the search word ‘toxin’ and not ‘fragment’.</w:t>
      </w:r>
    </w:p>
    <w:p w14:paraId="41B8EFE9" w14:textId="427A1DC5" w:rsidR="00117B4B" w:rsidRPr="00CD3AFB" w:rsidRDefault="00117B4B" w:rsidP="0033641F">
      <w:pPr>
        <w:widowControl/>
        <w:spacing w:before="120" w:after="120" w:line="259" w:lineRule="auto"/>
        <w:rPr>
          <w:lang w:bidi="ar-SA"/>
        </w:rPr>
      </w:pPr>
      <w:r w:rsidRPr="00117B4B">
        <w:rPr>
          <w:lang w:eastAsia="en-AU" w:bidi="ar-SA"/>
        </w:rPr>
        <w:t>There were no toxin sequences identified with a sequence similarity to the enzyme above 20% identity,</w:t>
      </w:r>
      <w:r w:rsidRPr="00117B4B">
        <w:rPr>
          <w:lang w:val="en-AU"/>
        </w:rPr>
        <w:t xml:space="preserve"> indicating that the </w:t>
      </w:r>
      <w:r w:rsidR="00EC046C">
        <w:rPr>
          <w:lang w:eastAsia="en-AU" w:bidi="ar-SA"/>
        </w:rPr>
        <w:t xml:space="preserve">endo-1,4-beta-xylanase </w:t>
      </w:r>
      <w:r w:rsidRPr="00117B4B">
        <w:rPr>
          <w:lang w:val="en-AU"/>
        </w:rPr>
        <w:t>enzyme has no substantial homology with known protein toxins.</w:t>
      </w:r>
    </w:p>
    <w:p w14:paraId="6ED88ECA" w14:textId="77777777" w:rsidR="00E22525" w:rsidRDefault="00E22525" w:rsidP="00AE6A3A">
      <w:pPr>
        <w:pStyle w:val="Heading3"/>
      </w:pPr>
      <w:bookmarkStart w:id="30" w:name="_Toc121322371"/>
      <w:r>
        <w:lastRenderedPageBreak/>
        <w:t xml:space="preserve">3.3.3 </w:t>
      </w:r>
      <w:r w:rsidR="00944B1A">
        <w:t xml:space="preserve">Evaluation of </w:t>
      </w:r>
      <w:r w:rsidR="0054627A">
        <w:t>t</w:t>
      </w:r>
      <w:r>
        <w:t>oxicity studies</w:t>
      </w:r>
      <w:bookmarkEnd w:id="30"/>
    </w:p>
    <w:p w14:paraId="04EAD0B9" w14:textId="0513136B" w:rsidR="00834CB0" w:rsidRPr="00CD3AFB" w:rsidRDefault="00722743" w:rsidP="0033641F">
      <w:pPr>
        <w:widowControl/>
        <w:spacing w:before="120" w:after="120" w:line="259" w:lineRule="auto"/>
        <w:rPr>
          <w:lang w:bidi="ar-SA"/>
        </w:rPr>
      </w:pPr>
      <w:r w:rsidRPr="00722743">
        <w:rPr>
          <w:lang w:eastAsia="en-AU" w:bidi="ar-SA"/>
        </w:rPr>
        <w:t xml:space="preserve">The </w:t>
      </w:r>
      <w:r w:rsidRPr="00722743">
        <w:rPr>
          <w:i/>
          <w:iCs/>
          <w:lang w:eastAsia="en-AU" w:bidi="ar-SA"/>
        </w:rPr>
        <w:t xml:space="preserve">T. </w:t>
      </w:r>
      <w:proofErr w:type="spellStart"/>
      <w:r w:rsidRPr="00722743">
        <w:rPr>
          <w:i/>
          <w:iCs/>
          <w:lang w:eastAsia="en-AU" w:bidi="ar-SA"/>
        </w:rPr>
        <w:t>leycettanus</w:t>
      </w:r>
      <w:proofErr w:type="spellEnd"/>
      <w:r w:rsidRPr="00722743">
        <w:rPr>
          <w:lang w:eastAsia="en-AU" w:bidi="ar-SA"/>
        </w:rPr>
        <w:t xml:space="preserve"> </w:t>
      </w:r>
      <w:r w:rsidR="00EC046C">
        <w:rPr>
          <w:lang w:eastAsia="en-AU" w:bidi="ar-SA"/>
        </w:rPr>
        <w:t xml:space="preserve">endo-1,4-beta-xylanase </w:t>
      </w:r>
      <w:r w:rsidRPr="00722743">
        <w:rPr>
          <w:lang w:eastAsia="en-AU" w:bidi="ar-SA"/>
        </w:rPr>
        <w:t xml:space="preserve">test item used in the supplied toxicity studies was produced using GM </w:t>
      </w:r>
      <w:r w:rsidRPr="00722743">
        <w:rPr>
          <w:i/>
          <w:iCs/>
          <w:lang w:eastAsia="en-AU" w:bidi="ar-SA"/>
        </w:rPr>
        <w:t xml:space="preserve">T. </w:t>
      </w:r>
      <w:proofErr w:type="spellStart"/>
      <w:r w:rsidRPr="00722743">
        <w:rPr>
          <w:i/>
          <w:iCs/>
          <w:lang w:eastAsia="en-AU" w:bidi="ar-SA"/>
        </w:rPr>
        <w:t>ree</w:t>
      </w:r>
      <w:r w:rsidR="00B211B8">
        <w:rPr>
          <w:i/>
          <w:iCs/>
          <w:lang w:eastAsia="en-AU" w:bidi="ar-SA"/>
        </w:rPr>
        <w:t>s</w:t>
      </w:r>
      <w:r w:rsidRPr="00722743">
        <w:rPr>
          <w:i/>
          <w:iCs/>
          <w:lang w:eastAsia="en-AU" w:bidi="ar-SA"/>
        </w:rPr>
        <w:t>ei</w:t>
      </w:r>
      <w:proofErr w:type="spellEnd"/>
      <w:r w:rsidRPr="00722743">
        <w:rPr>
          <w:lang w:eastAsia="en-AU" w:bidi="ar-SA"/>
        </w:rPr>
        <w:t>, and was equivalent to the enzyme product for commercialisation.</w:t>
      </w:r>
    </w:p>
    <w:p w14:paraId="3F560E11" w14:textId="77777777" w:rsidR="00BD4044" w:rsidRDefault="00BD4044" w:rsidP="009E61C6">
      <w:pPr>
        <w:rPr>
          <w:lang w:eastAsia="en-AU"/>
        </w:rPr>
      </w:pPr>
      <w:r w:rsidRPr="009E61C6">
        <w:rPr>
          <w:b/>
          <w:bCs/>
          <w:i/>
          <w:iCs/>
          <w:lang w:eastAsia="en-AU"/>
        </w:rPr>
        <w:t xml:space="preserve">Animal </w:t>
      </w:r>
      <w:r w:rsidR="003C733D" w:rsidRPr="009E61C6">
        <w:rPr>
          <w:b/>
          <w:bCs/>
          <w:i/>
          <w:iCs/>
          <w:lang w:eastAsia="en-AU"/>
        </w:rPr>
        <w:t>s</w:t>
      </w:r>
      <w:r w:rsidRPr="009E61C6">
        <w:rPr>
          <w:b/>
          <w:bCs/>
          <w:i/>
          <w:iCs/>
          <w:lang w:eastAsia="en-AU"/>
        </w:rPr>
        <w:t>tudies</w:t>
      </w:r>
    </w:p>
    <w:p w14:paraId="6366793E" w14:textId="77777777" w:rsidR="00DC1AD9" w:rsidRPr="00D324DD" w:rsidRDefault="00DC1AD9" w:rsidP="058F45AF">
      <w:pPr>
        <w:keepNext/>
        <w:widowControl/>
        <w:spacing w:before="120" w:after="120" w:line="259" w:lineRule="auto"/>
        <w:rPr>
          <w:lang w:eastAsia="en-AU" w:bidi="ar-SA"/>
        </w:rPr>
      </w:pPr>
      <w:r w:rsidRPr="058F45AF">
        <w:rPr>
          <w:i/>
          <w:iCs/>
          <w:u w:val="single"/>
          <w:lang w:eastAsia="en-AU" w:bidi="ar-SA"/>
        </w:rPr>
        <w:t>9</w:t>
      </w:r>
      <w:r w:rsidRPr="00D324DD">
        <w:rPr>
          <w:i/>
          <w:u w:val="single"/>
          <w:lang w:eastAsia="en-AU" w:bidi="ar-SA"/>
        </w:rPr>
        <w:t>0-day repeated dose oral toxicity study in rats (</w:t>
      </w:r>
      <w:proofErr w:type="spellStart"/>
      <w:r w:rsidRPr="00D324DD">
        <w:rPr>
          <w:i/>
          <w:u w:val="single"/>
          <w:lang w:eastAsia="en-AU" w:bidi="ar-SA"/>
        </w:rPr>
        <w:t>Envigo</w:t>
      </w:r>
      <w:proofErr w:type="spellEnd"/>
      <w:r w:rsidRPr="00D324DD">
        <w:rPr>
          <w:i/>
          <w:u w:val="single"/>
          <w:lang w:eastAsia="en-AU" w:bidi="ar-SA"/>
        </w:rPr>
        <w:t xml:space="preserve"> CRS Limited, 2016). Regulatory Status: GLP; conducted according to OECD Test Guideline (TG) 408.</w:t>
      </w:r>
      <w:r w:rsidRPr="058F45AF">
        <w:rPr>
          <w:lang w:eastAsia="en-AU" w:bidi="ar-SA"/>
        </w:rPr>
        <w:t xml:space="preserve"> </w:t>
      </w:r>
    </w:p>
    <w:p w14:paraId="6D461BE8" w14:textId="30ED874B" w:rsidR="00DC1AD9" w:rsidRPr="00D324DD" w:rsidRDefault="00DC1AD9" w:rsidP="058F45AF">
      <w:pPr>
        <w:widowControl/>
        <w:spacing w:before="120" w:after="120" w:line="259" w:lineRule="auto"/>
        <w:rPr>
          <w:lang w:eastAsia="en-AU" w:bidi="ar-SA"/>
        </w:rPr>
      </w:pPr>
      <w:r w:rsidRPr="00D324DD">
        <w:rPr>
          <w:lang w:eastAsia="en-AU" w:bidi="ar-SA"/>
        </w:rPr>
        <w:t xml:space="preserve">The </w:t>
      </w:r>
      <w:r w:rsidR="00EC046C" w:rsidRPr="00D324DD">
        <w:rPr>
          <w:lang w:eastAsia="en-AU" w:bidi="ar-SA"/>
        </w:rPr>
        <w:t xml:space="preserve">endo-1,4-beta-xylanase </w:t>
      </w:r>
      <w:r w:rsidRPr="00D324DD">
        <w:rPr>
          <w:lang w:eastAsia="en-AU" w:bidi="ar-SA"/>
        </w:rPr>
        <w:t>test item was administered to Wistar Han rats (10/sex/group) at doses of 0, 105, 347, 1051 mg total organic solids (TOS)/kg body weight (</w:t>
      </w:r>
      <w:proofErr w:type="spellStart"/>
      <w:r w:rsidRPr="00D324DD">
        <w:rPr>
          <w:lang w:eastAsia="en-AU" w:bidi="ar-SA"/>
        </w:rPr>
        <w:t>bw</w:t>
      </w:r>
      <w:proofErr w:type="spellEnd"/>
      <w:r w:rsidRPr="00D324DD">
        <w:rPr>
          <w:lang w:eastAsia="en-AU" w:bidi="ar-SA"/>
        </w:rPr>
        <w:t>)/day by oral gavage for 13 weeks. The vehicle control was water.</w:t>
      </w:r>
    </w:p>
    <w:p w14:paraId="35A99210" w14:textId="38233DFC" w:rsidR="00DC1AD9" w:rsidRDefault="00DC1AD9" w:rsidP="058F45AF">
      <w:pPr>
        <w:widowControl/>
        <w:spacing w:before="120" w:after="120" w:line="259" w:lineRule="auto"/>
        <w:rPr>
          <w:highlight w:val="yellow"/>
          <w:lang w:eastAsia="en-AU" w:bidi="ar-SA"/>
        </w:rPr>
      </w:pPr>
      <w:r w:rsidRPr="00D324DD">
        <w:rPr>
          <w:lang w:eastAsia="en-AU" w:bidi="ar-SA"/>
        </w:rPr>
        <w:t>Animals were observed twice daily, with detailed observation performed twice weekly. Body weight, food consumption and detailed physical examinations for signs of toxicity were recorded weekly. Ophthalmological examination was conducted on all test animals prior to treatment and on the control and high-dose animals at study termination. Functional performance and sensory reactivity tests were performed in week 12. Gross pathology, haematology, clinical chemistry and measurement of organ weights was conducted on all animals at termination. Histopathological examination was conducted on the control and high-dose test groups only.</w:t>
      </w:r>
    </w:p>
    <w:p w14:paraId="07B37393" w14:textId="15EF45AB" w:rsidR="00196DE9" w:rsidRDefault="00196DE9" w:rsidP="00196DE9">
      <w:pPr>
        <w:widowControl/>
        <w:spacing w:before="120" w:after="120" w:line="259" w:lineRule="auto"/>
        <w:rPr>
          <w:lang w:eastAsia="en-AU" w:bidi="ar-SA"/>
        </w:rPr>
      </w:pPr>
      <w:r>
        <w:rPr>
          <w:lang w:eastAsia="en-AU" w:bidi="ar-SA"/>
        </w:rPr>
        <w:t>There was no treatment-related mortality during the study period</w:t>
      </w:r>
      <w:r w:rsidR="008B13AD">
        <w:rPr>
          <w:lang w:eastAsia="en-AU" w:bidi="ar-SA"/>
        </w:rPr>
        <w:t>,</w:t>
      </w:r>
      <w:r>
        <w:rPr>
          <w:lang w:eastAsia="en-AU" w:bidi="ar-SA"/>
        </w:rPr>
        <w:t xml:space="preserve"> nor treatment-related effects on feed consumption, body weights, haematology, clinical chemistry, ophthalmology, or functional observations (functional performance or sensory reactivity). No treatment-related macroscopic abnormalities or histopathological findings were observed in any of the test animals at necropsy. </w:t>
      </w:r>
    </w:p>
    <w:p w14:paraId="6ED8EC0B" w14:textId="0A6589F9" w:rsidR="00196DE9" w:rsidRPr="00F94B50" w:rsidRDefault="00196DE9" w:rsidP="00196DE9">
      <w:pPr>
        <w:widowControl/>
        <w:spacing w:before="120" w:after="120" w:line="259" w:lineRule="auto"/>
        <w:rPr>
          <w:lang w:eastAsia="en-AU" w:bidi="ar-SA"/>
        </w:rPr>
      </w:pPr>
      <w:r>
        <w:rPr>
          <w:lang w:eastAsia="en-AU" w:bidi="ar-SA"/>
        </w:rPr>
        <w:t xml:space="preserve">The No Observed Adverse Effect Level (NOAEL) was identified as 1051 mg TOS/kg </w:t>
      </w:r>
      <w:proofErr w:type="spellStart"/>
      <w:r>
        <w:rPr>
          <w:lang w:eastAsia="en-AU" w:bidi="ar-SA"/>
        </w:rPr>
        <w:t>bw</w:t>
      </w:r>
      <w:proofErr w:type="spellEnd"/>
      <w:r>
        <w:rPr>
          <w:lang w:eastAsia="en-AU" w:bidi="ar-SA"/>
        </w:rPr>
        <w:t>/day, which was the highest dose tested.</w:t>
      </w:r>
    </w:p>
    <w:p w14:paraId="1F430D2B" w14:textId="4B5BB9AB" w:rsidR="00BD4044" w:rsidRPr="002E20B6" w:rsidRDefault="00BD4044" w:rsidP="002E20B6">
      <w:pPr>
        <w:widowControl/>
        <w:rPr>
          <w:b/>
          <w:i/>
          <w:lang w:eastAsia="en-AU"/>
        </w:rPr>
      </w:pPr>
      <w:r w:rsidRPr="009E61C6">
        <w:rPr>
          <w:b/>
          <w:bCs/>
          <w:i/>
          <w:iCs/>
          <w:lang w:eastAsia="en-AU"/>
        </w:rPr>
        <w:t>Genotoxicity</w:t>
      </w:r>
    </w:p>
    <w:p w14:paraId="2FC17339" w14:textId="77777777" w:rsidR="006A0C36" w:rsidRPr="006A0C36" w:rsidRDefault="006A0C36" w:rsidP="006A0C36">
      <w:pPr>
        <w:widowControl/>
        <w:spacing w:before="120" w:after="120" w:line="259" w:lineRule="auto"/>
        <w:rPr>
          <w:i/>
          <w:u w:val="single"/>
          <w:lang w:val="en-US" w:bidi="ar-SA"/>
        </w:rPr>
      </w:pPr>
      <w:r w:rsidRPr="006A0C36">
        <w:rPr>
          <w:i/>
          <w:u w:val="single"/>
          <w:lang w:val="en-US" w:bidi="ar-SA"/>
        </w:rPr>
        <w:t>Bacterial reverse mutation test (Covance Laboratories Ltd, 2016). Regulatory Status: GLP; conducted according to OECD TG 471.</w:t>
      </w:r>
    </w:p>
    <w:p w14:paraId="2B6E27E0" w14:textId="31CDFC9E" w:rsidR="006A0C36" w:rsidRPr="006A0C36" w:rsidRDefault="006A0C36" w:rsidP="006A0C36">
      <w:pPr>
        <w:widowControl/>
        <w:spacing w:before="120" w:after="120" w:line="259" w:lineRule="auto"/>
        <w:rPr>
          <w:highlight w:val="yellow"/>
          <w:lang w:val="en-US" w:bidi="ar-SA"/>
        </w:rPr>
      </w:pPr>
      <w:r w:rsidRPr="006A0C36">
        <w:rPr>
          <w:lang w:val="en-US" w:bidi="ar-SA"/>
        </w:rPr>
        <w:t xml:space="preserve">The potential mutagenicity of </w:t>
      </w:r>
      <w:r w:rsidR="00EC046C">
        <w:rPr>
          <w:lang w:eastAsia="en-AU" w:bidi="ar-SA"/>
        </w:rPr>
        <w:t xml:space="preserve">endo-1,4-beta-xylanase </w:t>
      </w:r>
      <w:r w:rsidRPr="006A0C36">
        <w:rPr>
          <w:lang w:val="en-US" w:bidi="ar-SA"/>
        </w:rPr>
        <w:t xml:space="preserve">was evaluated in </w:t>
      </w:r>
      <w:r w:rsidRPr="006A0C36">
        <w:rPr>
          <w:i/>
          <w:lang w:val="en-US" w:bidi="ar-SA"/>
        </w:rPr>
        <w:t>Salmonella enterica</w:t>
      </w:r>
      <w:r w:rsidRPr="006A0C36">
        <w:rPr>
          <w:lang w:val="en-US" w:bidi="ar-SA"/>
        </w:rPr>
        <w:t xml:space="preserve"> ser. Typhimurium strains TA98, TA100, TA1535, TA1537 and </w:t>
      </w:r>
      <w:r w:rsidRPr="006A0C36">
        <w:rPr>
          <w:i/>
          <w:iCs/>
          <w:lang w:val="en-US" w:bidi="ar-SA"/>
        </w:rPr>
        <w:t xml:space="preserve">Escherichia coli </w:t>
      </w:r>
      <w:r w:rsidRPr="006A0C36">
        <w:rPr>
          <w:lang w:val="en-US" w:bidi="ar-SA"/>
        </w:rPr>
        <w:t xml:space="preserve">strain WP2 </w:t>
      </w:r>
      <w:proofErr w:type="spellStart"/>
      <w:r w:rsidRPr="006A0C36">
        <w:rPr>
          <w:i/>
          <w:iCs/>
          <w:lang w:val="en-US" w:bidi="ar-SA"/>
        </w:rPr>
        <w:t>uvrA</w:t>
      </w:r>
      <w:proofErr w:type="spellEnd"/>
      <w:r w:rsidRPr="006A0C36">
        <w:rPr>
          <w:lang w:val="en-US" w:bidi="ar-SA"/>
        </w:rPr>
        <w:t xml:space="preserve"> pKM101, with and without metabolic activation using rat liver homogenate (S9). Bacterial cultures were treated for 1 hour with the test item between 16 – 5000 </w:t>
      </w:r>
      <w:r w:rsidRPr="006A0C36">
        <w:rPr>
          <w:rFonts w:cs="Arial"/>
          <w:lang w:val="en-US" w:bidi="ar-SA"/>
        </w:rPr>
        <w:t>µ</w:t>
      </w:r>
      <w:r w:rsidRPr="006A0C36">
        <w:rPr>
          <w:lang w:val="en-US" w:bidi="ar-SA"/>
        </w:rPr>
        <w:t xml:space="preserve">g TOS/mL, before treatment was removed and bacterial cultures plated using </w:t>
      </w:r>
      <w:r w:rsidR="00D26F80">
        <w:rPr>
          <w:lang w:val="en-US" w:bidi="ar-SA"/>
        </w:rPr>
        <w:t>a</w:t>
      </w:r>
      <w:r w:rsidR="00D26F80" w:rsidRPr="005A28E3">
        <w:rPr>
          <w:lang w:val="en-US" w:bidi="ar-SA"/>
        </w:rPr>
        <w:t xml:space="preserve"> </w:t>
      </w:r>
      <w:r w:rsidR="008D6C31" w:rsidRPr="005A28E3">
        <w:rPr>
          <w:lang w:val="en-US" w:bidi="ar-SA"/>
        </w:rPr>
        <w:t>m</w:t>
      </w:r>
      <w:r w:rsidR="008D6C31">
        <w:rPr>
          <w:lang w:val="en-US" w:bidi="ar-SA"/>
        </w:rPr>
        <w:t xml:space="preserve">odified </w:t>
      </w:r>
      <w:r w:rsidR="00D26F80">
        <w:rPr>
          <w:lang w:val="en-US" w:bidi="ar-SA"/>
        </w:rPr>
        <w:t>treat-and-</w:t>
      </w:r>
      <w:r w:rsidRPr="006A0C36">
        <w:rPr>
          <w:lang w:val="en-US" w:bidi="ar-SA"/>
        </w:rPr>
        <w:t xml:space="preserve">plate method. The experiment was conducted twice independently. </w:t>
      </w:r>
    </w:p>
    <w:p w14:paraId="3BFC91DE" w14:textId="77777777" w:rsidR="006A0C36" w:rsidRPr="006A0C36" w:rsidRDefault="006A0C36" w:rsidP="006A0C36">
      <w:pPr>
        <w:widowControl/>
        <w:spacing w:before="120" w:after="120" w:line="259" w:lineRule="auto"/>
        <w:rPr>
          <w:lang w:val="en-US" w:bidi="ar-SA"/>
        </w:rPr>
      </w:pPr>
      <w:r w:rsidRPr="006A0C36">
        <w:rPr>
          <w:lang w:val="en-US" w:bidi="ar-SA"/>
        </w:rPr>
        <w:t xml:space="preserve">Positive controls in the absence metabolic activation were 2-nitrofluorene (TA98), 4-nitroquinoline 1-oxide (TA100), </w:t>
      </w:r>
      <w:r w:rsidRPr="006A0C36">
        <w:rPr>
          <w:i/>
          <w:iCs/>
          <w:lang w:val="en-US" w:bidi="ar-SA"/>
        </w:rPr>
        <w:t>N</w:t>
      </w:r>
      <w:r w:rsidRPr="006A0C36">
        <w:rPr>
          <w:lang w:val="en-US" w:bidi="ar-SA"/>
        </w:rPr>
        <w:t>-methyl-</w:t>
      </w:r>
      <w:r w:rsidRPr="006A0C36">
        <w:rPr>
          <w:i/>
          <w:iCs/>
          <w:lang w:val="en-US" w:bidi="ar-SA"/>
        </w:rPr>
        <w:t>N</w:t>
      </w:r>
      <w:r w:rsidRPr="006A0C36">
        <w:rPr>
          <w:lang w:val="en-US" w:bidi="ar-SA"/>
        </w:rPr>
        <w:t>'-nitro-</w:t>
      </w:r>
      <w:r w:rsidRPr="006A0C36">
        <w:rPr>
          <w:i/>
          <w:iCs/>
          <w:lang w:val="en-US" w:bidi="ar-SA"/>
        </w:rPr>
        <w:t>N</w:t>
      </w:r>
      <w:r w:rsidRPr="006A0C36">
        <w:rPr>
          <w:lang w:val="en-US" w:bidi="ar-SA"/>
        </w:rPr>
        <w:t xml:space="preserve">-nitrosoguanidine (TA1535, WP2 </w:t>
      </w:r>
      <w:proofErr w:type="spellStart"/>
      <w:r w:rsidRPr="006A0C36">
        <w:rPr>
          <w:i/>
          <w:iCs/>
          <w:lang w:val="en-US" w:bidi="ar-SA"/>
        </w:rPr>
        <w:t>uvrA</w:t>
      </w:r>
      <w:proofErr w:type="spellEnd"/>
      <w:r w:rsidRPr="006A0C36">
        <w:rPr>
          <w:lang w:val="en-US" w:bidi="ar-SA"/>
        </w:rPr>
        <w:t xml:space="preserve"> pKM101) and ICR-171 (TA1537). The positive control in the presence of metabolic activation was 2-aminoanthracene (all strains). Purified water was used as the vehicle control.</w:t>
      </w:r>
    </w:p>
    <w:p w14:paraId="6374D527" w14:textId="77777777" w:rsidR="006A0C36" w:rsidRPr="006A0C36" w:rsidRDefault="006A0C36" w:rsidP="006A0C36">
      <w:pPr>
        <w:widowControl/>
        <w:spacing w:before="120" w:after="120" w:line="259" w:lineRule="auto"/>
        <w:rPr>
          <w:lang w:val="en-US" w:bidi="ar-SA"/>
        </w:rPr>
      </w:pPr>
      <w:r w:rsidRPr="006A0C36">
        <w:rPr>
          <w:lang w:val="en-AU" w:bidi="ar-SA"/>
        </w:rPr>
        <w:t>No concentration-related increases in revertant colonies were observed in cultures treated with t</w:t>
      </w:r>
      <w:r w:rsidRPr="006A0C36">
        <w:rPr>
          <w:lang w:val="en-AU" w:eastAsia="en-AU" w:bidi="ar-SA"/>
        </w:rPr>
        <w:t>he test item,</w:t>
      </w:r>
      <w:r w:rsidRPr="006A0C36">
        <w:rPr>
          <w:lang w:val="en-AU" w:bidi="ar-SA"/>
        </w:rPr>
        <w:t xml:space="preserve"> relative to vehicle controls</w:t>
      </w:r>
      <w:r w:rsidRPr="006A0C36">
        <w:rPr>
          <w:lang w:val="en-AU" w:eastAsia="en-AU" w:bidi="ar-SA"/>
        </w:rPr>
        <w:t xml:space="preserve">, </w:t>
      </w:r>
      <w:r w:rsidRPr="006A0C36">
        <w:rPr>
          <w:lang w:val="en-AU" w:bidi="ar-SA"/>
        </w:rPr>
        <w:t>with or without metabolic activation. All positive control treatments showed the anticipated increases in mutagenic activity demonstrating the validity of the assay.</w:t>
      </w:r>
    </w:p>
    <w:p w14:paraId="12545A32" w14:textId="289F5516" w:rsidR="00E2168E" w:rsidRPr="006A0C36" w:rsidRDefault="006A0C36" w:rsidP="006A0C36">
      <w:pPr>
        <w:widowControl/>
        <w:spacing w:before="120" w:after="120" w:line="259" w:lineRule="auto"/>
        <w:rPr>
          <w:lang w:val="en-US" w:bidi="ar-SA"/>
        </w:rPr>
      </w:pPr>
      <w:r w:rsidRPr="006A0C36">
        <w:rPr>
          <w:lang w:val="en-US" w:bidi="ar-SA"/>
        </w:rPr>
        <w:t xml:space="preserve">It was concluded that </w:t>
      </w:r>
      <w:r w:rsidR="00EC046C">
        <w:rPr>
          <w:lang w:val="en-US" w:bidi="ar-SA"/>
        </w:rPr>
        <w:t xml:space="preserve">endo-1,4-beta-xylanase </w:t>
      </w:r>
      <w:r w:rsidRPr="006A0C36">
        <w:rPr>
          <w:lang w:val="en-US" w:bidi="ar-SA"/>
        </w:rPr>
        <w:t>test item was not mutagenic under the conditions of this test.</w:t>
      </w:r>
    </w:p>
    <w:p w14:paraId="7B81F6E9" w14:textId="77777777" w:rsidR="006A0C36" w:rsidRPr="006A0C36" w:rsidRDefault="006A0C36" w:rsidP="006A0C36">
      <w:pPr>
        <w:widowControl/>
        <w:spacing w:before="120" w:after="120" w:line="259" w:lineRule="auto"/>
        <w:rPr>
          <w:i/>
          <w:color w:val="FF0000"/>
          <w:u w:val="single"/>
          <w:lang w:val="en-US" w:bidi="ar-SA"/>
        </w:rPr>
      </w:pPr>
      <w:r w:rsidRPr="006A0C36">
        <w:rPr>
          <w:i/>
          <w:u w:val="single"/>
          <w:lang w:val="en-US" w:bidi="ar-SA"/>
        </w:rPr>
        <w:lastRenderedPageBreak/>
        <w:t>In vitro mammalian micronucleus test in human lymphocytes  (Covance Laboratories Ltd, 2016). Regulatory status: GLP; conducted according to OECD TG 487.</w:t>
      </w:r>
    </w:p>
    <w:p w14:paraId="43EA4733" w14:textId="50911E4C" w:rsidR="006A0C36" w:rsidRPr="006A0C36" w:rsidRDefault="006A0C36" w:rsidP="006A0C36">
      <w:pPr>
        <w:widowControl/>
        <w:spacing w:before="120" w:after="120" w:line="259" w:lineRule="auto"/>
        <w:rPr>
          <w:lang w:eastAsia="en-AU" w:bidi="ar-SA"/>
        </w:rPr>
      </w:pPr>
      <w:r w:rsidRPr="006A0C36">
        <w:rPr>
          <w:lang w:eastAsia="en-AU" w:bidi="ar-SA"/>
        </w:rPr>
        <w:t xml:space="preserve">The potential of </w:t>
      </w:r>
      <w:r w:rsidR="00EC046C">
        <w:rPr>
          <w:lang w:eastAsia="en-AU" w:bidi="ar-SA"/>
        </w:rPr>
        <w:t xml:space="preserve">endo-1,4-beta-xylanase </w:t>
      </w:r>
      <w:r w:rsidRPr="006A0C36">
        <w:rPr>
          <w:lang w:eastAsia="en-AU" w:bidi="ar-SA"/>
        </w:rPr>
        <w:t xml:space="preserve">to induce micronuclei formation in mammalian cells was tested using human lymphocytes isolated from peripheral blood, collected and pooled from two healthy male volunteers. Treatment with the </w:t>
      </w:r>
      <w:r w:rsidR="00EC046C">
        <w:rPr>
          <w:lang w:eastAsia="en-AU" w:bidi="ar-SA"/>
        </w:rPr>
        <w:t xml:space="preserve">endo-1,4-beta-xylanase </w:t>
      </w:r>
      <w:r w:rsidRPr="006A0C36">
        <w:rPr>
          <w:lang w:eastAsia="en-AU" w:bidi="ar-SA"/>
        </w:rPr>
        <w:t xml:space="preserve">test item was either a 3-hour pulse exposure with or without S9, followed by a 21-hour recovery; or 24 hours of exposure with without S9, followed by 24-hour recovery. Positive control assays were conducted in parallel using mitomycin C as the </w:t>
      </w:r>
      <w:proofErr w:type="spellStart"/>
      <w:r w:rsidRPr="006A0C36">
        <w:rPr>
          <w:lang w:eastAsia="en-AU" w:bidi="ar-SA"/>
        </w:rPr>
        <w:t>clastogen</w:t>
      </w:r>
      <w:proofErr w:type="spellEnd"/>
      <w:r w:rsidRPr="006A0C36">
        <w:rPr>
          <w:lang w:eastAsia="en-AU" w:bidi="ar-SA"/>
        </w:rPr>
        <w:t xml:space="preserve"> positive control in the pulse treatment without S9, cyclophosphamide as the </w:t>
      </w:r>
      <w:proofErr w:type="spellStart"/>
      <w:r w:rsidRPr="006A0C36">
        <w:rPr>
          <w:lang w:eastAsia="en-AU" w:bidi="ar-SA"/>
        </w:rPr>
        <w:t>clastogen</w:t>
      </w:r>
      <w:proofErr w:type="spellEnd"/>
      <w:r w:rsidRPr="006A0C36">
        <w:rPr>
          <w:lang w:eastAsia="en-AU" w:bidi="ar-SA"/>
        </w:rPr>
        <w:t xml:space="preserve"> positive control in the pulse treatment with S9, and vinblastine as the aneugen positive control in the 24-hour exposure without S9. Results were an average of two experimental replicates. Sterile water was used as the vehicle control.</w:t>
      </w:r>
    </w:p>
    <w:p w14:paraId="0DBA416D" w14:textId="77777777" w:rsidR="006A0C36" w:rsidRPr="006A0C36" w:rsidRDefault="006A0C36" w:rsidP="006A0C36">
      <w:pPr>
        <w:widowControl/>
        <w:spacing w:before="120" w:after="120" w:line="259" w:lineRule="auto"/>
        <w:rPr>
          <w:lang w:eastAsia="en-AU" w:bidi="ar-SA"/>
        </w:rPr>
      </w:pPr>
      <w:r w:rsidRPr="006A0C36">
        <w:rPr>
          <w:lang w:eastAsia="en-AU" w:bidi="ar-SA"/>
        </w:rPr>
        <w:t>As a result of dose-selection experiments, the dose range for all treatments were adjusted to 500 – 5000 µg TOS/</w:t>
      </w:r>
      <w:proofErr w:type="spellStart"/>
      <w:r w:rsidRPr="006A0C36">
        <w:rPr>
          <w:lang w:eastAsia="en-AU" w:bidi="ar-SA"/>
        </w:rPr>
        <w:t>mL.</w:t>
      </w:r>
      <w:proofErr w:type="spellEnd"/>
    </w:p>
    <w:p w14:paraId="4AAC7FF0" w14:textId="2D95EFD6" w:rsidR="00DC1AD9" w:rsidRPr="00DC1AD9" w:rsidRDefault="3FEEB6D9" w:rsidP="007B6EF9">
      <w:pPr>
        <w:widowControl/>
        <w:spacing w:before="120" w:after="120" w:line="259" w:lineRule="auto"/>
        <w:rPr>
          <w:lang w:eastAsia="en-AU" w:bidi="ar-SA"/>
        </w:rPr>
      </w:pPr>
      <w:r w:rsidRPr="4136C568">
        <w:rPr>
          <w:lang w:eastAsia="en-AU" w:bidi="ar-SA"/>
        </w:rPr>
        <w:t>There were no treatment</w:t>
      </w:r>
      <w:r w:rsidR="0FA9C56A" w:rsidRPr="4136C568">
        <w:rPr>
          <w:lang w:eastAsia="en-AU" w:bidi="ar-SA"/>
        </w:rPr>
        <w:t>-</w:t>
      </w:r>
      <w:r w:rsidRPr="4136C568">
        <w:rPr>
          <w:lang w:eastAsia="en-AU" w:bidi="ar-SA"/>
        </w:rPr>
        <w:t xml:space="preserve">related increases in the incidence of </w:t>
      </w:r>
      <w:proofErr w:type="spellStart"/>
      <w:r w:rsidRPr="4136C568">
        <w:rPr>
          <w:lang w:eastAsia="en-AU" w:bidi="ar-SA"/>
        </w:rPr>
        <w:t>micronucleated</w:t>
      </w:r>
      <w:proofErr w:type="spellEnd"/>
      <w:r w:rsidRPr="4136C568">
        <w:rPr>
          <w:lang w:eastAsia="en-AU" w:bidi="ar-SA"/>
        </w:rPr>
        <w:t xml:space="preserve"> human lymphocytes following exposure to the test item, relative to the vehicle controls, under the conditions tested. The positive controls demonstrated a statistically significant increase in micronuclei formation, validating the sensitivity of the experimental methodology. It was concluded that the test </w:t>
      </w:r>
      <w:r w:rsidR="00EC046C">
        <w:rPr>
          <w:lang w:eastAsia="en-AU" w:bidi="ar-SA"/>
        </w:rPr>
        <w:t xml:space="preserve">endo-1,4-beta-xylanase </w:t>
      </w:r>
      <w:r w:rsidRPr="4136C568">
        <w:rPr>
          <w:lang w:eastAsia="en-AU" w:bidi="ar-SA"/>
        </w:rPr>
        <w:t xml:space="preserve">was not clastogenic or </w:t>
      </w:r>
      <w:proofErr w:type="spellStart"/>
      <w:r w:rsidRPr="4136C568">
        <w:rPr>
          <w:lang w:eastAsia="en-AU" w:bidi="ar-SA"/>
        </w:rPr>
        <w:t>aneugenic</w:t>
      </w:r>
      <w:proofErr w:type="spellEnd"/>
      <w:r w:rsidRPr="4136C568">
        <w:rPr>
          <w:lang w:eastAsia="en-AU" w:bidi="ar-SA"/>
        </w:rPr>
        <w:t xml:space="preserve"> in human lymphocytes, under the conditions of this study.</w:t>
      </w:r>
    </w:p>
    <w:p w14:paraId="749BCBCD" w14:textId="7355ECD2" w:rsidR="00BD4044" w:rsidRDefault="00BD4044" w:rsidP="00AE6A3A">
      <w:pPr>
        <w:pStyle w:val="Heading3"/>
      </w:pPr>
      <w:bookmarkStart w:id="31" w:name="_Toc121322372"/>
      <w:r>
        <w:t>3.3.4 Potential for allergenicity</w:t>
      </w:r>
      <w:bookmarkEnd w:id="31"/>
    </w:p>
    <w:p w14:paraId="31EBE4A1" w14:textId="6C6A131B" w:rsidR="007B6EF9" w:rsidRDefault="00F9106E" w:rsidP="00F9106E">
      <w:pPr>
        <w:widowControl/>
        <w:spacing w:before="120" w:after="120" w:line="259" w:lineRule="auto"/>
        <w:rPr>
          <w:lang w:eastAsia="en-AU" w:bidi="ar-SA"/>
        </w:rPr>
      </w:pPr>
      <w:r w:rsidRPr="00F9106E">
        <w:rPr>
          <w:lang w:eastAsia="en-AU" w:bidi="ar-SA"/>
        </w:rPr>
        <w:t xml:space="preserve">A FASTA search was performed using the amino acid sequence of </w:t>
      </w:r>
      <w:r w:rsidR="00EC046C">
        <w:rPr>
          <w:lang w:eastAsia="en-AU" w:bidi="ar-SA"/>
        </w:rPr>
        <w:t xml:space="preserve">endo-1,4-beta-xylanase </w:t>
      </w:r>
      <w:r w:rsidR="00095FCC" w:rsidRPr="0031574C">
        <w:rPr>
          <w:lang w:eastAsia="en-AU" w:bidi="ar-SA"/>
        </w:rPr>
        <w:t xml:space="preserve">using the </w:t>
      </w:r>
      <w:hyperlink r:id="rId21" w:history="1">
        <w:proofErr w:type="spellStart"/>
        <w:r w:rsidR="00095FCC" w:rsidRPr="0009079A">
          <w:rPr>
            <w:rStyle w:val="Hyperlink"/>
            <w:lang w:bidi="ar-SA"/>
          </w:rPr>
          <w:t>AllergenOnline</w:t>
        </w:r>
        <w:proofErr w:type="spellEnd"/>
      </w:hyperlink>
      <w:r w:rsidR="00095FCC" w:rsidRPr="0031574C">
        <w:rPr>
          <w:rStyle w:val="FootnoteReference"/>
          <w:lang w:bidi="ar-SA"/>
        </w:rPr>
        <w:footnoteReference w:id="9"/>
      </w:r>
      <w:r w:rsidR="00095FCC" w:rsidRPr="0031574C">
        <w:rPr>
          <w:lang w:bidi="ar-SA"/>
        </w:rPr>
        <w:t xml:space="preserve"> </w:t>
      </w:r>
      <w:r w:rsidR="00095FCC" w:rsidRPr="0031574C">
        <w:rPr>
          <w:lang w:eastAsia="en-AU" w:bidi="ar-SA"/>
        </w:rPr>
        <w:t>database</w:t>
      </w:r>
      <w:r w:rsidRPr="00F9106E">
        <w:rPr>
          <w:lang w:eastAsia="en-AU" w:bidi="ar-SA"/>
        </w:rPr>
        <w:t xml:space="preserve"> (queried April 2021) using four sequence alignments: the full-length protein (more than 35% identity), an 80 </w:t>
      </w:r>
      <w:proofErr w:type="spellStart"/>
      <w:r w:rsidRPr="00F9106E">
        <w:rPr>
          <w:lang w:eastAsia="en-AU" w:bidi="ar-SA"/>
        </w:rPr>
        <w:t>mer</w:t>
      </w:r>
      <w:proofErr w:type="spellEnd"/>
      <w:r w:rsidRPr="00F9106E">
        <w:rPr>
          <w:lang w:eastAsia="en-AU" w:bidi="ar-SA"/>
        </w:rPr>
        <w:t xml:space="preserve"> sliding window (more than 35% identity), a scaled 80 </w:t>
      </w:r>
      <w:proofErr w:type="spellStart"/>
      <w:r w:rsidRPr="00F9106E">
        <w:rPr>
          <w:lang w:eastAsia="en-AU" w:bidi="ar-SA"/>
        </w:rPr>
        <w:t>mer</w:t>
      </w:r>
      <w:proofErr w:type="spellEnd"/>
      <w:r w:rsidRPr="00F9106E">
        <w:rPr>
          <w:lang w:eastAsia="en-AU" w:bidi="ar-SA"/>
        </w:rPr>
        <w:t xml:space="preserve"> sliding window (more than 35% identity) and an 8 </w:t>
      </w:r>
      <w:proofErr w:type="spellStart"/>
      <w:r w:rsidRPr="00F9106E">
        <w:rPr>
          <w:lang w:eastAsia="en-AU" w:bidi="ar-SA"/>
        </w:rPr>
        <w:t>mer</w:t>
      </w:r>
      <w:proofErr w:type="spellEnd"/>
      <w:r w:rsidRPr="00F9106E">
        <w:rPr>
          <w:lang w:eastAsia="en-AU" w:bidi="ar-SA"/>
        </w:rPr>
        <w:t xml:space="preserve"> sliding window (100% identity). No allergen sequences were identified using these search parameters.</w:t>
      </w:r>
    </w:p>
    <w:p w14:paraId="1E20863F" w14:textId="21B87160" w:rsidR="00FF3A7B" w:rsidRPr="00F9106E" w:rsidRDefault="1F412972" w:rsidP="00F9106E">
      <w:pPr>
        <w:widowControl/>
        <w:spacing w:before="120" w:after="120" w:line="259" w:lineRule="auto"/>
        <w:rPr>
          <w:lang w:eastAsia="en-AU" w:bidi="ar-SA"/>
        </w:rPr>
      </w:pPr>
      <w:r w:rsidRPr="4136C568">
        <w:rPr>
          <w:lang w:eastAsia="en-AU" w:bidi="ar-SA"/>
        </w:rPr>
        <w:t>Xylanases ar</w:t>
      </w:r>
      <w:r w:rsidR="522CA661" w:rsidRPr="4136C568">
        <w:rPr>
          <w:lang w:eastAsia="en-AU" w:bidi="ar-SA"/>
        </w:rPr>
        <w:t xml:space="preserve">e known </w:t>
      </w:r>
      <w:r w:rsidR="5BDB4A19" w:rsidRPr="4136C568">
        <w:rPr>
          <w:lang w:eastAsia="en-AU" w:bidi="ar-SA"/>
        </w:rPr>
        <w:t>respiratory allergens arising from</w:t>
      </w:r>
      <w:r w:rsidR="522CA661" w:rsidRPr="4136C568">
        <w:rPr>
          <w:lang w:eastAsia="en-AU" w:bidi="ar-SA"/>
        </w:rPr>
        <w:t xml:space="preserve"> </w:t>
      </w:r>
      <w:r w:rsidR="2475900B" w:rsidRPr="4136C568">
        <w:rPr>
          <w:lang w:eastAsia="en-AU" w:bidi="ar-SA"/>
        </w:rPr>
        <w:t xml:space="preserve">occupational </w:t>
      </w:r>
      <w:r w:rsidR="522CA661" w:rsidRPr="4136C568">
        <w:rPr>
          <w:lang w:eastAsia="en-AU" w:bidi="ar-SA"/>
        </w:rPr>
        <w:t>sen</w:t>
      </w:r>
      <w:r w:rsidR="6E323BD4" w:rsidRPr="4136C568">
        <w:rPr>
          <w:lang w:eastAsia="en-AU" w:bidi="ar-SA"/>
        </w:rPr>
        <w:t>sitisation</w:t>
      </w:r>
      <w:r w:rsidR="1A81B7B7" w:rsidRPr="4136C568">
        <w:rPr>
          <w:lang w:eastAsia="en-AU" w:bidi="ar-SA"/>
        </w:rPr>
        <w:t xml:space="preserve"> when used</w:t>
      </w:r>
      <w:r w:rsidR="5BDB4A19" w:rsidRPr="4136C568">
        <w:rPr>
          <w:lang w:eastAsia="en-AU" w:bidi="ar-SA"/>
        </w:rPr>
        <w:t xml:space="preserve"> in industrial settings, su</w:t>
      </w:r>
      <w:r w:rsidR="1A81B7B7" w:rsidRPr="4136C568">
        <w:rPr>
          <w:lang w:eastAsia="en-AU" w:bidi="ar-SA"/>
        </w:rPr>
        <w:t>c</w:t>
      </w:r>
      <w:r w:rsidR="5BDB4A19" w:rsidRPr="4136C568">
        <w:rPr>
          <w:lang w:eastAsia="en-AU" w:bidi="ar-SA"/>
        </w:rPr>
        <w:t xml:space="preserve">h as </w:t>
      </w:r>
      <w:r w:rsidR="1A81B7B7" w:rsidRPr="4136C568">
        <w:rPr>
          <w:lang w:eastAsia="en-AU" w:bidi="ar-SA"/>
        </w:rPr>
        <w:t>commercial baking or animal feed</w:t>
      </w:r>
      <w:r w:rsidR="3F201CA3" w:rsidRPr="4136C568">
        <w:rPr>
          <w:lang w:eastAsia="en-AU" w:bidi="ar-SA"/>
        </w:rPr>
        <w:t xml:space="preserve"> </w:t>
      </w:r>
      <w:r w:rsidR="3B8AF9F4" w:rsidRPr="4136C568">
        <w:rPr>
          <w:lang w:eastAsia="en-AU" w:bidi="ar-SA"/>
        </w:rPr>
        <w:t>settings</w:t>
      </w:r>
      <w:r w:rsidR="6468F7A8" w:rsidRPr="4136C568">
        <w:rPr>
          <w:lang w:eastAsia="en-AU" w:bidi="ar-SA"/>
        </w:rPr>
        <w:t xml:space="preserve"> </w:t>
      </w:r>
      <w:r w:rsidR="2C77D569" w:rsidRPr="4136C568">
        <w:rPr>
          <w:lang w:eastAsia="en-AU" w:bidi="ar-SA"/>
        </w:rPr>
        <w:t>(</w:t>
      </w:r>
      <w:proofErr w:type="spellStart"/>
      <w:r w:rsidR="39C4FB69" w:rsidRPr="4136C568">
        <w:rPr>
          <w:lang w:eastAsia="en-AU" w:bidi="ar-SA"/>
        </w:rPr>
        <w:t>Merget</w:t>
      </w:r>
      <w:proofErr w:type="spellEnd"/>
      <w:r w:rsidR="39C4FB69" w:rsidRPr="4136C568">
        <w:rPr>
          <w:lang w:eastAsia="en-AU" w:bidi="ar-SA"/>
        </w:rPr>
        <w:t xml:space="preserve"> et al. 2001; </w:t>
      </w:r>
      <w:proofErr w:type="spellStart"/>
      <w:r w:rsidR="2C77D569" w:rsidRPr="4136C568">
        <w:rPr>
          <w:lang w:eastAsia="en-AU" w:bidi="ar-SA"/>
        </w:rPr>
        <w:t>Vanhanen</w:t>
      </w:r>
      <w:proofErr w:type="spellEnd"/>
      <w:r w:rsidR="2C77D569" w:rsidRPr="4136C568">
        <w:rPr>
          <w:lang w:eastAsia="en-AU" w:bidi="ar-SA"/>
        </w:rPr>
        <w:t xml:space="preserve"> et al. 2001</w:t>
      </w:r>
      <w:r w:rsidR="48787336" w:rsidRPr="4136C568">
        <w:rPr>
          <w:lang w:eastAsia="en-AU" w:bidi="ar-SA"/>
        </w:rPr>
        <w:t>; Elms et al. 2003)</w:t>
      </w:r>
      <w:r w:rsidR="6EF19BEC" w:rsidRPr="4136C568">
        <w:rPr>
          <w:lang w:eastAsia="en-AU" w:bidi="ar-SA"/>
        </w:rPr>
        <w:t>. However,</w:t>
      </w:r>
      <w:r w:rsidR="5BDB4A19" w:rsidRPr="4136C568">
        <w:rPr>
          <w:lang w:eastAsia="en-AU" w:bidi="ar-SA"/>
        </w:rPr>
        <w:t xml:space="preserve"> </w:t>
      </w:r>
      <w:r w:rsidR="40B97AB8" w:rsidRPr="4136C568">
        <w:rPr>
          <w:lang w:eastAsia="en-AU" w:bidi="ar-SA"/>
        </w:rPr>
        <w:t xml:space="preserve">food enzyme processing aids that are respiratory allergens are not usually food allergens (Poulsen 2004, </w:t>
      </w:r>
      <w:proofErr w:type="spellStart"/>
      <w:r w:rsidR="40B97AB8" w:rsidRPr="4136C568">
        <w:rPr>
          <w:lang w:eastAsia="en-AU" w:bidi="ar-SA"/>
        </w:rPr>
        <w:t>Bindslev</w:t>
      </w:r>
      <w:proofErr w:type="spellEnd"/>
      <w:r w:rsidR="40B97AB8" w:rsidRPr="4136C568">
        <w:rPr>
          <w:lang w:eastAsia="en-AU" w:bidi="ar-SA"/>
        </w:rPr>
        <w:t xml:space="preserve">-Jensen et al. 2006) and </w:t>
      </w:r>
      <w:r w:rsidR="668BF59D" w:rsidRPr="4136C568">
        <w:rPr>
          <w:lang w:eastAsia="en-AU" w:bidi="ar-SA"/>
        </w:rPr>
        <w:t xml:space="preserve">FSANZ </w:t>
      </w:r>
      <w:r w:rsidR="007136D0" w:rsidRPr="007136D0">
        <w:rPr>
          <w:lang w:eastAsia="en-AU" w:bidi="ar-SA"/>
        </w:rPr>
        <w:t>did not locate</w:t>
      </w:r>
      <w:r w:rsidR="668BF59D" w:rsidRPr="4136C568">
        <w:rPr>
          <w:lang w:eastAsia="en-AU" w:bidi="ar-SA"/>
        </w:rPr>
        <w:t xml:space="preserve"> any </w:t>
      </w:r>
      <w:r w:rsidR="40B97AB8" w:rsidRPr="4136C568">
        <w:rPr>
          <w:lang w:eastAsia="en-AU" w:bidi="ar-SA"/>
        </w:rPr>
        <w:t xml:space="preserve">case reports </w:t>
      </w:r>
      <w:r w:rsidR="16DD442B" w:rsidRPr="4136C568">
        <w:rPr>
          <w:lang w:eastAsia="en-AU" w:bidi="ar-SA"/>
        </w:rPr>
        <w:t xml:space="preserve">in the scientific literature </w:t>
      </w:r>
      <w:r w:rsidR="40B97AB8" w:rsidRPr="4136C568">
        <w:rPr>
          <w:lang w:eastAsia="en-AU" w:bidi="ar-SA"/>
        </w:rPr>
        <w:t xml:space="preserve">of </w:t>
      </w:r>
      <w:r w:rsidR="21CDEDF7" w:rsidRPr="4136C568">
        <w:rPr>
          <w:lang w:eastAsia="en-AU" w:bidi="ar-SA"/>
        </w:rPr>
        <w:t>oral sensitisation to xylanase enzymes.</w:t>
      </w:r>
    </w:p>
    <w:p w14:paraId="23AD2FD6" w14:textId="095B555F" w:rsidR="00BD4044" w:rsidRDefault="00BD4044" w:rsidP="00AE6A3A">
      <w:pPr>
        <w:pStyle w:val="Heading3"/>
      </w:pPr>
      <w:bookmarkStart w:id="32" w:name="_Toc121312207"/>
      <w:bookmarkStart w:id="33" w:name="_Toc121322373"/>
      <w:r>
        <w:t>3.3.5 Assessments by other regulatory agencies</w:t>
      </w:r>
      <w:bookmarkEnd w:id="32"/>
      <w:bookmarkEnd w:id="33"/>
    </w:p>
    <w:p w14:paraId="520B2CAB" w14:textId="07F00D38" w:rsidR="00D31C3E" w:rsidRPr="00D31C3E" w:rsidRDefault="6D8AB923" w:rsidP="00D31C3E">
      <w:pPr>
        <w:widowControl/>
        <w:spacing w:before="120" w:after="120" w:line="259" w:lineRule="auto"/>
        <w:rPr>
          <w:lang w:val="en-AU" w:eastAsia="en-AU" w:bidi="ar-SA"/>
        </w:rPr>
      </w:pPr>
      <w:r w:rsidRPr="4136C568">
        <w:rPr>
          <w:lang w:val="en-AU" w:eastAsia="en-AU" w:bidi="ar-SA"/>
        </w:rPr>
        <w:t xml:space="preserve">The </w:t>
      </w:r>
      <w:r w:rsidRPr="4136C568">
        <w:rPr>
          <w:i/>
          <w:iCs/>
          <w:lang w:val="en-AU" w:eastAsia="en-AU" w:bidi="ar-SA"/>
        </w:rPr>
        <w:t xml:space="preserve">T. </w:t>
      </w:r>
      <w:proofErr w:type="spellStart"/>
      <w:r w:rsidRPr="4136C568">
        <w:rPr>
          <w:i/>
          <w:iCs/>
          <w:lang w:val="en-AU" w:eastAsia="en-AU" w:bidi="ar-SA"/>
        </w:rPr>
        <w:t>leycettanus</w:t>
      </w:r>
      <w:proofErr w:type="spellEnd"/>
      <w:r w:rsidRPr="4136C568">
        <w:rPr>
          <w:i/>
          <w:iCs/>
          <w:lang w:val="en-AU" w:eastAsia="en-AU" w:bidi="ar-SA"/>
        </w:rPr>
        <w:t xml:space="preserve"> </w:t>
      </w:r>
      <w:r w:rsidR="00EC046C">
        <w:rPr>
          <w:lang w:val="en-AU" w:eastAsia="en-AU" w:bidi="ar-SA"/>
        </w:rPr>
        <w:t xml:space="preserve">endo-1,4-beta-xylanase </w:t>
      </w:r>
      <w:r w:rsidRPr="4136C568">
        <w:rPr>
          <w:lang w:val="en-AU" w:eastAsia="en-AU" w:bidi="ar-SA"/>
        </w:rPr>
        <w:t xml:space="preserve">produced using GM </w:t>
      </w:r>
      <w:r w:rsidRPr="4136C568">
        <w:rPr>
          <w:i/>
          <w:iCs/>
          <w:lang w:val="en-AU" w:eastAsia="en-AU" w:bidi="ar-SA"/>
        </w:rPr>
        <w:t xml:space="preserve">T. </w:t>
      </w:r>
      <w:proofErr w:type="spellStart"/>
      <w:r w:rsidRPr="4136C568">
        <w:rPr>
          <w:i/>
          <w:iCs/>
          <w:lang w:val="en-AU" w:eastAsia="en-AU" w:bidi="ar-SA"/>
        </w:rPr>
        <w:t>ree</w:t>
      </w:r>
      <w:r w:rsidR="28FA45F0" w:rsidRPr="4136C568">
        <w:rPr>
          <w:i/>
          <w:iCs/>
          <w:lang w:val="en-AU" w:eastAsia="en-AU" w:bidi="ar-SA"/>
        </w:rPr>
        <w:t>s</w:t>
      </w:r>
      <w:r w:rsidRPr="4136C568">
        <w:rPr>
          <w:i/>
          <w:iCs/>
          <w:lang w:val="en-AU" w:eastAsia="en-AU" w:bidi="ar-SA"/>
        </w:rPr>
        <w:t>ei</w:t>
      </w:r>
      <w:proofErr w:type="spellEnd"/>
      <w:r w:rsidRPr="4136C568">
        <w:rPr>
          <w:lang w:val="en-AU" w:eastAsia="en-AU" w:bidi="ar-SA"/>
        </w:rPr>
        <w:t xml:space="preserve"> is approved for use in Denmark, Mexico and Brazil. The written assessments undertaken by these countries were not provided to FSANZ.</w:t>
      </w:r>
    </w:p>
    <w:p w14:paraId="78998E6E" w14:textId="3D8CB4EC" w:rsidR="003C733D" w:rsidRDefault="003C733D" w:rsidP="00642A92">
      <w:pPr>
        <w:pStyle w:val="Heading2"/>
        <w:rPr>
          <w:lang w:eastAsia="en-AU"/>
        </w:rPr>
      </w:pPr>
      <w:bookmarkStart w:id="34" w:name="_Toc121312208"/>
      <w:bookmarkStart w:id="35" w:name="_Toc121322374"/>
      <w:r>
        <w:rPr>
          <w:lang w:eastAsia="en-AU"/>
        </w:rPr>
        <w:t>3.4 Dietary exposure assessment</w:t>
      </w:r>
      <w:bookmarkEnd w:id="34"/>
      <w:bookmarkEnd w:id="35"/>
    </w:p>
    <w:p w14:paraId="6AB384B3" w14:textId="7E77B24E" w:rsidR="00927406" w:rsidRPr="00927406" w:rsidRDefault="00927406" w:rsidP="00927406">
      <w:pPr>
        <w:widowControl/>
        <w:spacing w:before="120" w:after="120" w:line="259" w:lineRule="auto"/>
        <w:rPr>
          <w:rFonts w:eastAsia="Arial" w:cs="Arial"/>
          <w:szCs w:val="22"/>
        </w:rPr>
      </w:pPr>
      <w:r w:rsidRPr="00927406">
        <w:rPr>
          <w:rFonts w:eastAsia="Arial" w:cs="Arial"/>
          <w:szCs w:val="22"/>
        </w:rPr>
        <w:t xml:space="preserve">The objective of the dietary exposure assessment was to review the budget method calculation presented by the applicant as a ‘worse-case scenario’ approach to estimating likely levels of dietary exposure, assuming that all of the TOS from the </w:t>
      </w:r>
      <w:r w:rsidR="00EC046C">
        <w:rPr>
          <w:rFonts w:eastAsia="Arial" w:cs="Arial"/>
          <w:szCs w:val="22"/>
        </w:rPr>
        <w:t xml:space="preserve">endo-1,4-beta-xylanase </w:t>
      </w:r>
      <w:r w:rsidRPr="00927406">
        <w:rPr>
          <w:rFonts w:eastAsia="Arial" w:cs="Arial"/>
          <w:szCs w:val="22"/>
        </w:rPr>
        <w:t>enzyme preparation remained in the food.</w:t>
      </w:r>
    </w:p>
    <w:p w14:paraId="2A29B7EE" w14:textId="2AA40B98" w:rsidR="00927406" w:rsidRPr="00927406" w:rsidRDefault="00927406" w:rsidP="00927406">
      <w:pPr>
        <w:widowControl/>
        <w:spacing w:before="120" w:after="120" w:line="259" w:lineRule="auto"/>
        <w:rPr>
          <w:rFonts w:eastAsia="Arial" w:cs="Arial"/>
          <w:szCs w:val="22"/>
        </w:rPr>
      </w:pPr>
      <w:r w:rsidRPr="00927406">
        <w:rPr>
          <w:rFonts w:eastAsia="Arial" w:cs="Arial"/>
          <w:szCs w:val="22"/>
        </w:rPr>
        <w:lastRenderedPageBreak/>
        <w:t>The budget method is a valid screening tool for estimating the theoretical maximum daily intake (TMDI) of a food additive (Douglass et al</w:t>
      </w:r>
      <w:r w:rsidR="00326CFE">
        <w:rPr>
          <w:rFonts w:eastAsia="Arial" w:cs="Arial"/>
          <w:szCs w:val="22"/>
        </w:rPr>
        <w:t>.</w:t>
      </w:r>
      <w:r w:rsidRPr="00927406">
        <w:rPr>
          <w:rFonts w:eastAsia="Arial" w:cs="Arial"/>
          <w:szCs w:val="22"/>
        </w:rPr>
        <w:t xml:space="preserve"> 1997). The calculation is based on physiological food and liquid requirements, the food additive concentration in foods and beverages, and the proportion of foods and beverages that may contain the food additive. The TMDI can then be compared to an ADI or a NOAEL to estimate a margin of exposure for risk characterisation purposes. Whilst the budget method was originally developed for use in assessing food additives, it is also appropriate to use for estimating the TMDI for processing aids (FAO/WHO 2020). The method is used by international regulatory bodies and the FAO/WHO Joint Expert Committee on Food Additives (JECFA) (FAO/WHO 2021) for dietary exposure assessments for processing aids.</w:t>
      </w:r>
    </w:p>
    <w:p w14:paraId="1DB36F97" w14:textId="1D90C918" w:rsidR="00927406" w:rsidRPr="00927406" w:rsidRDefault="00927406" w:rsidP="00927406">
      <w:pPr>
        <w:widowControl/>
        <w:spacing w:before="120" w:after="120" w:line="259" w:lineRule="auto"/>
        <w:rPr>
          <w:rFonts w:eastAsia="Arial" w:cs="Arial"/>
          <w:szCs w:val="22"/>
        </w:rPr>
      </w:pPr>
      <w:r w:rsidRPr="00927406">
        <w:rPr>
          <w:rFonts w:eastAsia="Arial" w:cs="Arial"/>
          <w:szCs w:val="22"/>
        </w:rPr>
        <w:t>In their budget method calculation, the applicant made the following assumptions:</w:t>
      </w:r>
    </w:p>
    <w:p w14:paraId="07CCA9A8" w14:textId="77777777" w:rsidR="00927406" w:rsidRPr="00927406" w:rsidRDefault="00927406" w:rsidP="00F82D09">
      <w:pPr>
        <w:widowControl/>
        <w:numPr>
          <w:ilvl w:val="0"/>
          <w:numId w:val="5"/>
        </w:numPr>
        <w:ind w:left="499" w:hanging="357"/>
        <w:rPr>
          <w:rFonts w:eastAsia="Arial" w:cs="Arial"/>
          <w:color w:val="000000" w:themeColor="text1"/>
          <w:szCs w:val="22"/>
          <w:lang w:bidi="ar-SA"/>
        </w:rPr>
      </w:pPr>
      <w:r w:rsidRPr="00927406">
        <w:rPr>
          <w:rFonts w:eastAsia="Arial" w:cs="Arial"/>
          <w:szCs w:val="22"/>
          <w:lang w:bidi="ar-SA"/>
        </w:rPr>
        <w:t>the maximum physiological requirement for solid food (including milk) is 25 g/kg body weight/day</w:t>
      </w:r>
    </w:p>
    <w:p w14:paraId="5195558A" w14:textId="77777777" w:rsidR="00927406" w:rsidRPr="00927406" w:rsidRDefault="00927406" w:rsidP="00F82D09">
      <w:pPr>
        <w:widowControl/>
        <w:numPr>
          <w:ilvl w:val="0"/>
          <w:numId w:val="5"/>
        </w:numPr>
        <w:ind w:left="499" w:hanging="357"/>
        <w:rPr>
          <w:rFonts w:eastAsia="Arial" w:cs="Arial"/>
          <w:color w:val="000000" w:themeColor="text1"/>
          <w:szCs w:val="22"/>
          <w:lang w:bidi="ar-SA"/>
        </w:rPr>
      </w:pPr>
      <w:r w:rsidRPr="00927406">
        <w:rPr>
          <w:rFonts w:eastAsia="Arial" w:cs="Arial"/>
          <w:szCs w:val="22"/>
          <w:lang w:bidi="ar-SA"/>
        </w:rPr>
        <w:t>50% of solid food is processed</w:t>
      </w:r>
    </w:p>
    <w:p w14:paraId="68FF8238" w14:textId="77777777" w:rsidR="00927406" w:rsidRPr="00927406" w:rsidRDefault="00927406" w:rsidP="00F82D09">
      <w:pPr>
        <w:widowControl/>
        <w:numPr>
          <w:ilvl w:val="0"/>
          <w:numId w:val="5"/>
        </w:numPr>
        <w:ind w:left="499" w:hanging="357"/>
        <w:contextualSpacing/>
        <w:rPr>
          <w:rFonts w:eastAsia="Arial" w:cs="Arial"/>
          <w:color w:val="000000" w:themeColor="text1"/>
          <w:szCs w:val="22"/>
        </w:rPr>
      </w:pPr>
      <w:r w:rsidRPr="00927406">
        <w:rPr>
          <w:rFonts w:eastAsia="Arial" w:cs="Arial"/>
          <w:szCs w:val="22"/>
        </w:rPr>
        <w:t xml:space="preserve">on average, all processed food contains 25% grains (or grain-derived) dry matter </w:t>
      </w:r>
    </w:p>
    <w:p w14:paraId="2D339E8C" w14:textId="77777777" w:rsidR="00927406" w:rsidRPr="00927406" w:rsidRDefault="00927406" w:rsidP="00F82D09">
      <w:pPr>
        <w:widowControl/>
        <w:numPr>
          <w:ilvl w:val="0"/>
          <w:numId w:val="5"/>
        </w:numPr>
        <w:ind w:left="499" w:hanging="357"/>
        <w:rPr>
          <w:rFonts w:eastAsia="Arial" w:cs="Arial"/>
          <w:color w:val="000000" w:themeColor="text1"/>
          <w:szCs w:val="22"/>
          <w:lang w:bidi="ar-SA"/>
        </w:rPr>
      </w:pPr>
      <w:r w:rsidRPr="00927406">
        <w:rPr>
          <w:rFonts w:eastAsia="Arial" w:cs="Arial"/>
          <w:szCs w:val="22"/>
          <w:lang w:bidi="ar-SA"/>
        </w:rPr>
        <w:t>the maximum physiological requirement for liquid is 100 mL/kg body weight/day (the standard level used in a budget method calculation for non-milk beverages)</w:t>
      </w:r>
    </w:p>
    <w:p w14:paraId="30563288" w14:textId="77777777" w:rsidR="00927406" w:rsidRPr="00927406" w:rsidRDefault="00927406" w:rsidP="00F82D09">
      <w:pPr>
        <w:widowControl/>
        <w:numPr>
          <w:ilvl w:val="0"/>
          <w:numId w:val="5"/>
        </w:numPr>
        <w:ind w:left="499" w:hanging="357"/>
        <w:rPr>
          <w:rFonts w:eastAsia="Arial" w:cs="Arial"/>
          <w:color w:val="000000" w:themeColor="text1"/>
          <w:szCs w:val="22"/>
          <w:lang w:bidi="ar-SA"/>
        </w:rPr>
      </w:pPr>
      <w:r w:rsidRPr="00927406">
        <w:rPr>
          <w:rFonts w:eastAsia="Arial" w:cs="Arial"/>
          <w:szCs w:val="22"/>
          <w:lang w:bidi="ar-SA"/>
        </w:rPr>
        <w:t>25% of non-milk beverages are processed</w:t>
      </w:r>
    </w:p>
    <w:p w14:paraId="0C242B2D" w14:textId="77777777" w:rsidR="00E13D36" w:rsidRPr="00927406" w:rsidRDefault="00E13D36" w:rsidP="5C4FDF80">
      <w:pPr>
        <w:widowControl/>
        <w:numPr>
          <w:ilvl w:val="0"/>
          <w:numId w:val="5"/>
        </w:numPr>
        <w:ind w:left="499" w:hanging="357"/>
        <w:rPr>
          <w:rFonts w:eastAsia="Arial" w:cs="Arial"/>
          <w:color w:val="000000" w:themeColor="text1"/>
          <w:lang w:bidi="ar-SA"/>
        </w:rPr>
      </w:pPr>
      <w:r w:rsidRPr="5C4FDF80">
        <w:rPr>
          <w:rFonts w:eastAsia="Arial" w:cs="Arial"/>
          <w:lang w:bidi="ar-SA"/>
        </w:rPr>
        <w:t xml:space="preserve">all processed beverages contain 12% grain hydrolysates </w:t>
      </w:r>
    </w:p>
    <w:p w14:paraId="75DD64CB" w14:textId="77777777" w:rsidR="00927406" w:rsidRPr="00927406" w:rsidRDefault="00927406" w:rsidP="00F82D09">
      <w:pPr>
        <w:widowControl/>
        <w:numPr>
          <w:ilvl w:val="0"/>
          <w:numId w:val="5"/>
        </w:numPr>
        <w:ind w:left="499" w:hanging="357"/>
        <w:contextualSpacing/>
        <w:rPr>
          <w:rFonts w:eastAsia="Arial" w:cs="Arial"/>
          <w:color w:val="000000" w:themeColor="text1"/>
          <w:szCs w:val="22"/>
        </w:rPr>
      </w:pPr>
      <w:r w:rsidRPr="00927406">
        <w:rPr>
          <w:rFonts w:eastAsia="Arial" w:cs="Arial"/>
          <w:szCs w:val="22"/>
        </w:rPr>
        <w:t>densities of the non-milk beverages are ~ 1</w:t>
      </w:r>
    </w:p>
    <w:p w14:paraId="4F5FA5B0" w14:textId="30B1FF63" w:rsidR="00F13D7C" w:rsidRPr="00927406" w:rsidRDefault="00F13D7C" w:rsidP="5C4FDF80">
      <w:pPr>
        <w:widowControl/>
        <w:numPr>
          <w:ilvl w:val="0"/>
          <w:numId w:val="5"/>
        </w:numPr>
        <w:ind w:left="499" w:hanging="357"/>
        <w:rPr>
          <w:rFonts w:eastAsia="Arial" w:cs="Arial"/>
          <w:lang w:bidi="ar-SA"/>
        </w:rPr>
      </w:pPr>
      <w:r w:rsidRPr="5C4FDF80">
        <w:rPr>
          <w:rFonts w:eastAsia="Arial" w:cs="Arial"/>
          <w:lang w:bidi="ar-SA"/>
        </w:rPr>
        <w:t>all solid foods and non-milk beverages contain the highest use level of 16 mg TOS/kg raw material (grains)</w:t>
      </w:r>
    </w:p>
    <w:p w14:paraId="03C31300" w14:textId="5C64F085" w:rsidR="00927406" w:rsidRPr="00927406" w:rsidRDefault="00927406" w:rsidP="5403148B">
      <w:pPr>
        <w:widowControl/>
        <w:numPr>
          <w:ilvl w:val="0"/>
          <w:numId w:val="5"/>
        </w:numPr>
        <w:ind w:left="499" w:hanging="357"/>
        <w:rPr>
          <w:rFonts w:eastAsia="Arial" w:cs="Arial"/>
          <w:lang w:bidi="ar-SA"/>
        </w:rPr>
      </w:pPr>
      <w:r w:rsidRPr="5403148B">
        <w:rPr>
          <w:rFonts w:eastAsia="Arial" w:cs="Arial"/>
          <w:lang w:bidi="ar-SA"/>
        </w:rPr>
        <w:t>all of the TOS from the enzyme preparation remains in the final food</w:t>
      </w:r>
    </w:p>
    <w:p w14:paraId="756B43EA" w14:textId="2ED2CA37" w:rsidR="00927406" w:rsidRPr="00927406" w:rsidRDefault="00927406" w:rsidP="5C4FDF80">
      <w:pPr>
        <w:widowControl/>
        <w:numPr>
          <w:ilvl w:val="0"/>
          <w:numId w:val="5"/>
        </w:numPr>
        <w:spacing w:before="120" w:after="120" w:line="259" w:lineRule="auto"/>
        <w:ind w:left="499" w:hanging="357"/>
        <w:rPr>
          <w:rFonts w:cs="Arial"/>
          <w:color w:val="000000" w:themeColor="text1"/>
          <w:lang w:bidi="ar-SA"/>
        </w:rPr>
      </w:pPr>
      <w:r w:rsidRPr="5C4FDF80">
        <w:rPr>
          <w:rFonts w:eastAsia="Arial" w:cs="Arial"/>
          <w:lang w:bidi="ar-SA"/>
        </w:rPr>
        <w:t xml:space="preserve">Based on these assumptions, the applicant calculated the TMDI of the TOS from the enzyme preparation to be 0.1 mg TOS/kg body weight/day. </w:t>
      </w:r>
    </w:p>
    <w:p w14:paraId="2F1962F7" w14:textId="77777777" w:rsidR="00927406" w:rsidRPr="00927406" w:rsidRDefault="00927406" w:rsidP="00927406">
      <w:pPr>
        <w:widowControl/>
        <w:spacing w:before="120" w:after="120" w:line="259" w:lineRule="auto"/>
        <w:rPr>
          <w:rFonts w:eastAsia="Arial" w:cs="Arial"/>
          <w:szCs w:val="22"/>
        </w:rPr>
      </w:pPr>
      <w:r w:rsidRPr="00927406">
        <w:rPr>
          <w:rFonts w:eastAsia="Arial" w:cs="Arial"/>
          <w:szCs w:val="22"/>
        </w:rPr>
        <w:t xml:space="preserve">As assumptions made by the applicant differ from those that FSANZ would have made in applying the budget method, FSANZ independently calculated the TMDI using the following assumptions that are conservative and reflective of a first tier in estimating dietary exposure: </w:t>
      </w:r>
    </w:p>
    <w:p w14:paraId="7BF67A6A" w14:textId="77777777" w:rsidR="00927406" w:rsidRPr="00927406" w:rsidRDefault="00927406" w:rsidP="00927406">
      <w:pPr>
        <w:widowControl/>
        <w:numPr>
          <w:ilvl w:val="0"/>
          <w:numId w:val="5"/>
        </w:numPr>
        <w:spacing w:before="120" w:after="120" w:line="259" w:lineRule="auto"/>
        <w:rPr>
          <w:rFonts w:eastAsia="Arial" w:cs="Arial"/>
          <w:color w:val="000000" w:themeColor="text1"/>
          <w:szCs w:val="22"/>
          <w:lang w:bidi="ar-SA"/>
        </w:rPr>
      </w:pPr>
      <w:r w:rsidRPr="5C4FDF80">
        <w:rPr>
          <w:rFonts w:eastAsia="Arial" w:cs="Arial"/>
          <w:lang w:bidi="ar-SA"/>
        </w:rPr>
        <w:t xml:space="preserve">The maximum physiological requirement for solid food (including milk) is 50 g/kg body weight/day (the standard level used in a budget method calculation where there is potential for the enzyme preparation to be in baby foods or </w:t>
      </w:r>
      <w:bookmarkStart w:id="36" w:name="_Int_MrVAj4pV"/>
      <w:r w:rsidRPr="5C4FDF80">
        <w:rPr>
          <w:rFonts w:eastAsia="Arial" w:cs="Arial"/>
          <w:lang w:bidi="ar-SA"/>
        </w:rPr>
        <w:t>general purpose</w:t>
      </w:r>
      <w:bookmarkEnd w:id="36"/>
      <w:r w:rsidRPr="5C4FDF80">
        <w:rPr>
          <w:rFonts w:eastAsia="Arial" w:cs="Arial"/>
          <w:lang w:bidi="ar-SA"/>
        </w:rPr>
        <w:t xml:space="preserve"> foods that would be consumed by infants).</w:t>
      </w:r>
    </w:p>
    <w:p w14:paraId="4F3D51CB" w14:textId="77777777" w:rsidR="008A3316" w:rsidRPr="008A3316" w:rsidRDefault="00927406" w:rsidP="008A3316">
      <w:pPr>
        <w:widowControl/>
        <w:numPr>
          <w:ilvl w:val="0"/>
          <w:numId w:val="5"/>
        </w:numPr>
        <w:spacing w:before="120" w:after="120" w:line="259" w:lineRule="auto"/>
        <w:rPr>
          <w:rFonts w:eastAsia="Arial" w:cs="Arial"/>
          <w:color w:val="000000" w:themeColor="text1"/>
          <w:szCs w:val="22"/>
          <w:lang w:bidi="ar-SA"/>
        </w:rPr>
      </w:pPr>
      <w:r w:rsidRPr="5C4FDF80">
        <w:rPr>
          <w:rFonts w:eastAsia="Arial" w:cs="Arial"/>
          <w:lang w:bidi="ar-SA"/>
        </w:rPr>
        <w:t>FSANZ would generally assume 12.5% of solid foods contain the enzyme based on commonly used default proportions noted in the FAO/WHO Environmental Health Criteria (EHC) 240 Chapter 6 on dietary exposure assessment (FAO/WHO 2009).</w:t>
      </w:r>
    </w:p>
    <w:p w14:paraId="39C328CC" w14:textId="234CAAB3" w:rsidR="00927406" w:rsidRPr="00927406" w:rsidRDefault="00927406" w:rsidP="00F27BFA">
      <w:pPr>
        <w:widowControl/>
        <w:spacing w:before="120" w:after="120" w:line="259" w:lineRule="auto"/>
        <w:rPr>
          <w:rFonts w:eastAsia="Arial" w:cs="Arial"/>
          <w:color w:val="000000" w:themeColor="text1"/>
          <w:szCs w:val="22"/>
          <w:lang w:bidi="ar-SA"/>
        </w:rPr>
      </w:pPr>
      <w:r w:rsidRPr="5C4FDF80">
        <w:rPr>
          <w:rFonts w:eastAsia="Arial" w:cs="Arial"/>
          <w:lang w:bidi="ar-SA"/>
        </w:rPr>
        <w:t>However, the applicant has assumed a higher proportion of 50% based on the nature and extent of use of the enzyme and therefore FSANZ has also used this proportion for solid foods as a worst-case scenario.</w:t>
      </w:r>
    </w:p>
    <w:p w14:paraId="32118928" w14:textId="64296149" w:rsidR="00927406" w:rsidRPr="00562413" w:rsidRDefault="00927406" w:rsidP="00EB6DAD">
      <w:pPr>
        <w:widowControl/>
        <w:spacing w:before="120" w:after="120" w:line="259" w:lineRule="auto"/>
        <w:rPr>
          <w:rFonts w:eastAsia="Calibri"/>
          <w:color w:val="000000" w:themeColor="text1"/>
          <w:szCs w:val="22"/>
          <w:lang w:bidi="ar-SA"/>
        </w:rPr>
      </w:pPr>
      <w:r w:rsidRPr="00927406">
        <w:rPr>
          <w:rFonts w:eastAsia="Arial" w:cs="Arial"/>
          <w:szCs w:val="22"/>
          <w:lang w:bidi="ar-SA"/>
        </w:rPr>
        <w:t>All other inputs and assumptions used by FSANZ remained as per those used by the applicant. The TMDI of the TOS from the enzyme preparation based on FSANZ’s calculations for solid food is and non-milk beverages is 0.15 mg TOS/kg body weight/day.</w:t>
      </w:r>
    </w:p>
    <w:p w14:paraId="62FA54A9" w14:textId="2229A55A" w:rsidR="00D31C3E" w:rsidRPr="0023777F" w:rsidRDefault="00927406" w:rsidP="0023777F">
      <w:pPr>
        <w:widowControl/>
        <w:spacing w:before="120" w:after="120" w:line="259" w:lineRule="auto"/>
        <w:rPr>
          <w:rFonts w:eastAsia="Arial" w:cs="Arial"/>
          <w:szCs w:val="22"/>
        </w:rPr>
      </w:pPr>
      <w:r w:rsidRPr="00927406">
        <w:rPr>
          <w:rFonts w:eastAsia="Arial" w:cs="Arial"/>
          <w:szCs w:val="22"/>
        </w:rPr>
        <w:t>Both the FSANZ and applicant’s estimates of the TMDI will be overestimates of the dietary exposure given the conservatisms in the budget method. This includes that it was assumed that all of the TOS from the enzyme preparation remains in the final foods and beverages whereas the applicant has stated that it is likely to either be reduced or removed during processing or would be present in insignificant quantities. In addition, the enzyme would be inactivated and perform no function in the final food to which the ingredient is added.</w:t>
      </w:r>
    </w:p>
    <w:p w14:paraId="6E5D7AA6" w14:textId="0B60E4C6" w:rsidR="003C733D" w:rsidRDefault="003C733D" w:rsidP="003C733D">
      <w:pPr>
        <w:pStyle w:val="Heading1"/>
        <w:rPr>
          <w:lang w:eastAsia="en-AU"/>
        </w:rPr>
      </w:pPr>
      <w:bookmarkStart w:id="37" w:name="_Toc121312209"/>
      <w:bookmarkStart w:id="38" w:name="_Toc121322375"/>
      <w:r>
        <w:rPr>
          <w:lang w:eastAsia="en-AU"/>
        </w:rPr>
        <w:lastRenderedPageBreak/>
        <w:t>4 Discussion</w:t>
      </w:r>
      <w:bookmarkEnd w:id="37"/>
      <w:bookmarkEnd w:id="38"/>
    </w:p>
    <w:p w14:paraId="5AF85B0F" w14:textId="755238FD" w:rsidR="00DC5902" w:rsidRPr="003F42B4" w:rsidRDefault="2C2E8EE8" w:rsidP="00DC5902">
      <w:pPr>
        <w:widowControl/>
        <w:spacing w:before="120" w:after="120" w:line="259" w:lineRule="auto"/>
      </w:pPr>
      <w:r w:rsidRPr="003F42B4">
        <w:t xml:space="preserve">No public health and safety concerns were identified in the assessment of </w:t>
      </w:r>
      <w:r w:rsidR="00EC046C">
        <w:t xml:space="preserve">endo-1,4-beta-xylanase </w:t>
      </w:r>
      <w:r w:rsidRPr="003F42B4">
        <w:t xml:space="preserve">produced by this GM </w:t>
      </w:r>
      <w:r w:rsidRPr="4136C568">
        <w:rPr>
          <w:rFonts w:cs="Arial"/>
          <w:i/>
          <w:iCs/>
          <w:shd w:val="clear" w:color="auto" w:fill="FFFFFF"/>
        </w:rPr>
        <w:t xml:space="preserve">T. </w:t>
      </w:r>
      <w:proofErr w:type="spellStart"/>
      <w:r w:rsidRPr="4136C568">
        <w:rPr>
          <w:rFonts w:cs="Arial"/>
          <w:i/>
          <w:iCs/>
          <w:shd w:val="clear" w:color="auto" w:fill="FFFFFF"/>
        </w:rPr>
        <w:t>reesei</w:t>
      </w:r>
      <w:proofErr w:type="spellEnd"/>
      <w:r w:rsidRPr="003F42B4">
        <w:rPr>
          <w:rFonts w:cs="Arial"/>
          <w:shd w:val="clear" w:color="auto" w:fill="FFFFFF"/>
        </w:rPr>
        <w:t xml:space="preserve"> </w:t>
      </w:r>
      <w:r w:rsidRPr="003F42B4">
        <w:t xml:space="preserve">under the proposed use conditions. </w:t>
      </w:r>
      <w:r w:rsidRPr="4136C568">
        <w:rPr>
          <w:rFonts w:cs="Arial"/>
          <w:i/>
          <w:iCs/>
          <w:shd w:val="clear" w:color="auto" w:fill="FFFFFF"/>
        </w:rPr>
        <w:t>T. </w:t>
      </w:r>
      <w:proofErr w:type="spellStart"/>
      <w:r w:rsidRPr="4136C568">
        <w:rPr>
          <w:rFonts w:cs="Arial"/>
          <w:i/>
          <w:iCs/>
          <w:shd w:val="clear" w:color="auto" w:fill="FFFFFF"/>
        </w:rPr>
        <w:t>reesei</w:t>
      </w:r>
      <w:proofErr w:type="spellEnd"/>
      <w:r w:rsidRPr="4136C568">
        <w:rPr>
          <w:i/>
          <w:iCs/>
        </w:rPr>
        <w:t xml:space="preserve"> </w:t>
      </w:r>
      <w:r w:rsidRPr="003F42B4">
        <w:t xml:space="preserve">has a long history of safe use as a production microorganism of enzyme processing aids, including several that are already permitted in the Code. The production organism is neither pathogenic nor toxigenic. Analysis of the modified production strain confirmed the presence and stability of the inserted DNA. </w:t>
      </w:r>
      <w:r w:rsidR="007C5D51">
        <w:t xml:space="preserve">Bioinformatics analysis indicated that the produced </w:t>
      </w:r>
      <w:r w:rsidR="00EC046C">
        <w:t xml:space="preserve">endo-1,4-beta-xylanase </w:t>
      </w:r>
      <w:r w:rsidR="007C5D51">
        <w:t>does not demonstrate substantial homology with any known toxins or food allergens.</w:t>
      </w:r>
    </w:p>
    <w:p w14:paraId="04CA38DA" w14:textId="02E625A9" w:rsidR="00DC5902" w:rsidRPr="003F42B4" w:rsidRDefault="2C2E8EE8" w:rsidP="00DC5902">
      <w:pPr>
        <w:widowControl/>
        <w:spacing w:before="120" w:after="120" w:line="259" w:lineRule="auto"/>
      </w:pPr>
      <w:r>
        <w:t xml:space="preserve">Toxicity testing of the </w:t>
      </w:r>
      <w:r w:rsidR="00EC046C">
        <w:t xml:space="preserve">endo-1,4-beta-xylanase </w:t>
      </w:r>
      <w:r>
        <w:t xml:space="preserve">enzyme showed no evidence of genotoxicity </w:t>
      </w:r>
      <w:r w:rsidRPr="4136C568">
        <w:rPr>
          <w:i/>
          <w:iCs/>
        </w:rPr>
        <w:t>in vitro</w:t>
      </w:r>
      <w:r>
        <w:t xml:space="preserve"> and the NOAEL in a 90-day oral gavage study in rats was the highest dose tested, 1051</w:t>
      </w:r>
      <w:r w:rsidR="00B24B61">
        <w:t> </w:t>
      </w:r>
      <w:r>
        <w:t xml:space="preserve">mg TOS/kg </w:t>
      </w:r>
      <w:proofErr w:type="spellStart"/>
      <w:r>
        <w:t>bw</w:t>
      </w:r>
      <w:proofErr w:type="spellEnd"/>
      <w:r>
        <w:t xml:space="preserve">/day. </w:t>
      </w:r>
      <w:r w:rsidRPr="4136C568">
        <w:rPr>
          <w:rFonts w:eastAsia="Arial" w:cs="Arial"/>
        </w:rPr>
        <w:t>The TMDI based on FSANZ’s calculations is 0.1</w:t>
      </w:r>
      <w:r w:rsidR="00096A36">
        <w:rPr>
          <w:rFonts w:eastAsia="Arial" w:cs="Arial"/>
        </w:rPr>
        <w:t>5</w:t>
      </w:r>
      <w:r w:rsidR="008E2C5D">
        <w:rPr>
          <w:rFonts w:eastAsia="Arial" w:cs="Arial"/>
        </w:rPr>
        <w:t xml:space="preserve"> </w:t>
      </w:r>
      <w:r w:rsidRPr="4136C568">
        <w:rPr>
          <w:rFonts w:eastAsia="Arial" w:cs="Arial"/>
        </w:rPr>
        <w:t>mg TOS/kg body weight</w:t>
      </w:r>
      <w:r w:rsidR="00096A36">
        <w:rPr>
          <w:rFonts w:eastAsia="Arial" w:cs="Arial"/>
        </w:rPr>
        <w:t>/day</w:t>
      </w:r>
      <w:r w:rsidRPr="4136C568">
        <w:rPr>
          <w:rFonts w:eastAsia="Arial" w:cs="Arial"/>
        </w:rPr>
        <w:t xml:space="preserve">. Comparison of the NOAEL and the TMDI results in a Margin of Exposure (MOE) of </w:t>
      </w:r>
      <w:r w:rsidR="007C5D51">
        <w:rPr>
          <w:rFonts w:eastAsia="Arial" w:cs="Arial"/>
        </w:rPr>
        <w:t xml:space="preserve">approximately </w:t>
      </w:r>
      <w:r w:rsidR="008E2C5D">
        <w:rPr>
          <w:rFonts w:eastAsia="Arial" w:cs="Arial"/>
        </w:rPr>
        <w:t>7</w:t>
      </w:r>
      <w:r w:rsidRPr="4136C568">
        <w:rPr>
          <w:rFonts w:eastAsia="Arial" w:cs="Arial"/>
        </w:rPr>
        <w:t>000.</w:t>
      </w:r>
    </w:p>
    <w:p w14:paraId="558F1F23" w14:textId="630BB3A0" w:rsidR="003C733D" w:rsidRDefault="003C733D" w:rsidP="003C733D">
      <w:pPr>
        <w:pStyle w:val="Heading1"/>
        <w:rPr>
          <w:lang w:eastAsia="en-AU"/>
        </w:rPr>
      </w:pPr>
      <w:bookmarkStart w:id="39" w:name="_Toc121312210"/>
      <w:bookmarkStart w:id="40" w:name="_Toc121322376"/>
      <w:r>
        <w:rPr>
          <w:lang w:eastAsia="en-AU"/>
        </w:rPr>
        <w:t>5 Conclusion</w:t>
      </w:r>
      <w:bookmarkEnd w:id="39"/>
      <w:bookmarkEnd w:id="40"/>
    </w:p>
    <w:p w14:paraId="21989750" w14:textId="0A1F9F46" w:rsidR="00DC5902" w:rsidRPr="00DC5902" w:rsidRDefault="00045E2E" w:rsidP="000D5CF0">
      <w:pPr>
        <w:widowControl/>
        <w:spacing w:before="120" w:after="120" w:line="259" w:lineRule="auto"/>
      </w:pPr>
      <w:r w:rsidRPr="00045E2E">
        <w:t>Based on the reviewed data it is concluded that in the absence of any identifiable hazard an Acceptable Daily Intake (ADI) ‘not specified’ is appropriate.</w:t>
      </w:r>
    </w:p>
    <w:p w14:paraId="6388A3E9" w14:textId="29AF9DDF" w:rsidR="003C733D" w:rsidRPr="003C733D" w:rsidRDefault="003C733D" w:rsidP="003C733D">
      <w:pPr>
        <w:pStyle w:val="Heading1"/>
        <w:rPr>
          <w:lang w:eastAsia="en-AU"/>
        </w:rPr>
      </w:pPr>
      <w:bookmarkStart w:id="41" w:name="_Toc121312211"/>
      <w:bookmarkStart w:id="42" w:name="_Toc121322377"/>
      <w:r>
        <w:rPr>
          <w:lang w:eastAsia="en-AU"/>
        </w:rPr>
        <w:t>6 References</w:t>
      </w:r>
      <w:bookmarkEnd w:id="41"/>
      <w:bookmarkEnd w:id="42"/>
    </w:p>
    <w:p w14:paraId="440E06F9" w14:textId="287C94B1" w:rsidR="00C965B4" w:rsidRDefault="00C965B4" w:rsidP="00A36CB7">
      <w:pPr>
        <w:widowControl/>
        <w:spacing w:before="120" w:after="120" w:line="259" w:lineRule="auto"/>
      </w:pPr>
      <w:proofErr w:type="spellStart"/>
      <w:r w:rsidRPr="00C965B4">
        <w:t>Bindslev</w:t>
      </w:r>
      <w:proofErr w:type="spellEnd"/>
      <w:r w:rsidRPr="00C965B4">
        <w:t xml:space="preserve">-Jensen C, </w:t>
      </w:r>
      <w:proofErr w:type="spellStart"/>
      <w:r w:rsidRPr="00C965B4">
        <w:t>Skov</w:t>
      </w:r>
      <w:proofErr w:type="spellEnd"/>
      <w:r w:rsidRPr="00C965B4">
        <w:t xml:space="preserve"> PS, </w:t>
      </w:r>
      <w:proofErr w:type="spellStart"/>
      <w:r w:rsidRPr="00C965B4">
        <w:t>Roggen</w:t>
      </w:r>
      <w:proofErr w:type="spellEnd"/>
      <w:r w:rsidRPr="00C965B4">
        <w:t xml:space="preserve"> EL, </w:t>
      </w:r>
      <w:proofErr w:type="spellStart"/>
      <w:r w:rsidRPr="00C965B4">
        <w:t>Hvass</w:t>
      </w:r>
      <w:proofErr w:type="spellEnd"/>
      <w:r w:rsidRPr="00C965B4">
        <w:t xml:space="preserve"> P, </w:t>
      </w:r>
      <w:proofErr w:type="spellStart"/>
      <w:r w:rsidRPr="00C965B4">
        <w:t>Brinch</w:t>
      </w:r>
      <w:proofErr w:type="spellEnd"/>
      <w:r w:rsidRPr="00C965B4">
        <w:t xml:space="preserve"> DS (2006) Investigation on possible allergenicity of 19 different commercial enzymes used in the food industry. Food Chem </w:t>
      </w:r>
      <w:proofErr w:type="spellStart"/>
      <w:r w:rsidRPr="00C965B4">
        <w:t>Toxicol</w:t>
      </w:r>
      <w:proofErr w:type="spellEnd"/>
      <w:r w:rsidRPr="00C965B4">
        <w:t>. 44(11):1909-15</w:t>
      </w:r>
    </w:p>
    <w:p w14:paraId="76FE5D2C" w14:textId="36B4D309" w:rsidR="00B530C5" w:rsidRPr="00A36CB7" w:rsidRDefault="00B530C5" w:rsidP="00A36CB7">
      <w:pPr>
        <w:widowControl/>
        <w:spacing w:before="120" w:after="120" w:line="259" w:lineRule="auto"/>
        <w:rPr>
          <w:color w:val="3333FF"/>
          <w:u w:val="single"/>
        </w:rPr>
      </w:pPr>
      <w:proofErr w:type="spellStart"/>
      <w:r w:rsidRPr="00A36CB7">
        <w:t>Bundesanstalt</w:t>
      </w:r>
      <w:proofErr w:type="spellEnd"/>
      <w:r w:rsidRPr="00A36CB7">
        <w:t xml:space="preserve"> für </w:t>
      </w:r>
      <w:proofErr w:type="spellStart"/>
      <w:r w:rsidRPr="00A36CB7">
        <w:t>Arbeitsschutz</w:t>
      </w:r>
      <w:proofErr w:type="spellEnd"/>
      <w:r w:rsidRPr="00A36CB7">
        <w:t xml:space="preserve"> und </w:t>
      </w:r>
      <w:proofErr w:type="spellStart"/>
      <w:r w:rsidRPr="00A36CB7">
        <w:t>Arbeitsmedizin</w:t>
      </w:r>
      <w:proofErr w:type="spellEnd"/>
      <w:r w:rsidRPr="00A36CB7">
        <w:t xml:space="preserve"> (</w:t>
      </w:r>
      <w:proofErr w:type="spellStart"/>
      <w:r w:rsidRPr="00A36CB7">
        <w:t>BAuA</w:t>
      </w:r>
      <w:proofErr w:type="spellEnd"/>
      <w:r w:rsidRPr="00A36CB7">
        <w:t xml:space="preserve">) (2016) </w:t>
      </w:r>
      <w:proofErr w:type="spellStart"/>
      <w:r w:rsidRPr="00A36CB7">
        <w:t>Technische</w:t>
      </w:r>
      <w:proofErr w:type="spellEnd"/>
      <w:r w:rsidRPr="00A36CB7">
        <w:t xml:space="preserve"> Regel für </w:t>
      </w:r>
      <w:proofErr w:type="spellStart"/>
      <w:r w:rsidRPr="00A36CB7">
        <w:t>Biologische</w:t>
      </w:r>
      <w:proofErr w:type="spellEnd"/>
      <w:r w:rsidRPr="00A36CB7">
        <w:t xml:space="preserve"> </w:t>
      </w:r>
      <w:proofErr w:type="spellStart"/>
      <w:r w:rsidRPr="00A36CB7">
        <w:t>Arbeitsstoffe</w:t>
      </w:r>
      <w:proofErr w:type="spellEnd"/>
      <w:r w:rsidRPr="00A36CB7">
        <w:t xml:space="preserve"> 460. </w:t>
      </w:r>
      <w:hyperlink r:id="rId22" w:history="1">
        <w:r w:rsidRPr="00A36CB7">
          <w:rPr>
            <w:color w:val="3333FF"/>
            <w:u w:val="single"/>
          </w:rPr>
          <w:t>https://www.baua.de/DE/Angebote/Rechtstexte-und-Technische-Regeln/Regelwerk/TRBA/TRBA-460.html</w:t>
        </w:r>
      </w:hyperlink>
    </w:p>
    <w:p w14:paraId="17495E1E" w14:textId="77777777" w:rsidR="00B530C5" w:rsidRPr="00CD6EB5" w:rsidRDefault="00B530C5" w:rsidP="00CD6EB5">
      <w:pPr>
        <w:rPr>
          <w:rFonts w:cs="Arial"/>
          <w:szCs w:val="22"/>
          <w:lang w:eastAsia="fr-FR" w:bidi="ar-SA"/>
        </w:rPr>
      </w:pPr>
      <w:r w:rsidRPr="00CD6EB5">
        <w:rPr>
          <w:rFonts w:cs="Arial"/>
          <w:szCs w:val="22"/>
        </w:rPr>
        <w:t xml:space="preserve">Chang A, </w:t>
      </w:r>
      <w:proofErr w:type="spellStart"/>
      <w:r w:rsidRPr="00CD6EB5">
        <w:rPr>
          <w:rFonts w:cs="Arial"/>
          <w:szCs w:val="22"/>
        </w:rPr>
        <w:t>Jeske</w:t>
      </w:r>
      <w:proofErr w:type="spellEnd"/>
      <w:r w:rsidRPr="00CD6EB5">
        <w:rPr>
          <w:rFonts w:cs="Arial"/>
          <w:szCs w:val="22"/>
        </w:rPr>
        <w:t xml:space="preserve"> L, </w:t>
      </w:r>
      <w:proofErr w:type="spellStart"/>
      <w:r w:rsidRPr="00CD6EB5">
        <w:rPr>
          <w:rFonts w:cs="Arial"/>
          <w:szCs w:val="22"/>
        </w:rPr>
        <w:t>Ulbrich</w:t>
      </w:r>
      <w:proofErr w:type="spellEnd"/>
      <w:r w:rsidRPr="00CD6EB5">
        <w:rPr>
          <w:rFonts w:cs="Arial"/>
          <w:szCs w:val="22"/>
        </w:rPr>
        <w:t xml:space="preserve"> S, Hofmann J, </w:t>
      </w:r>
      <w:proofErr w:type="spellStart"/>
      <w:r w:rsidRPr="00CD6EB5">
        <w:rPr>
          <w:rFonts w:cs="Arial"/>
          <w:szCs w:val="22"/>
        </w:rPr>
        <w:t>Koblitz</w:t>
      </w:r>
      <w:proofErr w:type="spellEnd"/>
      <w:r w:rsidRPr="00CD6EB5">
        <w:rPr>
          <w:rFonts w:cs="Arial"/>
          <w:szCs w:val="22"/>
        </w:rPr>
        <w:t xml:space="preserve"> J, Schomburg I, Neumann-</w:t>
      </w:r>
      <w:proofErr w:type="spellStart"/>
      <w:r w:rsidRPr="00CD6EB5">
        <w:rPr>
          <w:rFonts w:cs="Arial"/>
          <w:szCs w:val="22"/>
        </w:rPr>
        <w:t>Schaal</w:t>
      </w:r>
      <w:proofErr w:type="spellEnd"/>
      <w:r w:rsidRPr="00CD6EB5">
        <w:rPr>
          <w:rFonts w:cs="Arial"/>
          <w:szCs w:val="22"/>
        </w:rPr>
        <w:t xml:space="preserve"> M, Jahn D, Schomburg D (2021) BRENDA, the ELIXIR core data resource in 2021: new developments and updates. Nucleic Acids Res. 49:D498–D508. DOI: 10.1093/</w:t>
      </w:r>
      <w:proofErr w:type="spellStart"/>
      <w:r w:rsidRPr="00CD6EB5">
        <w:rPr>
          <w:rFonts w:cs="Arial"/>
          <w:szCs w:val="22"/>
        </w:rPr>
        <w:t>nar</w:t>
      </w:r>
      <w:proofErr w:type="spellEnd"/>
      <w:r w:rsidRPr="00CD6EB5">
        <w:rPr>
          <w:rFonts w:cs="Arial"/>
          <w:szCs w:val="22"/>
        </w:rPr>
        <w:t>/gkaa1025</w:t>
      </w:r>
    </w:p>
    <w:p w14:paraId="74AC658F" w14:textId="77777777" w:rsidR="00B530C5" w:rsidRPr="00A36CB7" w:rsidRDefault="00B530C5" w:rsidP="00A36CB7">
      <w:pPr>
        <w:widowControl/>
        <w:spacing w:before="120" w:after="120" w:line="259" w:lineRule="auto"/>
        <w:rPr>
          <w:i/>
          <w:iCs/>
          <w:lang w:bidi="ar-SA"/>
        </w:rPr>
      </w:pPr>
      <w:r w:rsidRPr="00A36CB7">
        <w:rPr>
          <w:lang w:bidi="ar-SA"/>
        </w:rPr>
        <w:t xml:space="preserve">Covance Laboratories Ltd (2016) Xylanase, batch PPQ40100: Bacterial Reverse Mutation Assay using a Treat and Plate Modification. </w:t>
      </w:r>
      <w:r w:rsidRPr="00A36CB7">
        <w:rPr>
          <w:i/>
          <w:iCs/>
          <w:lang w:bidi="ar-SA"/>
        </w:rPr>
        <w:t>Study Number: 8336499</w:t>
      </w:r>
    </w:p>
    <w:p w14:paraId="14C115CA" w14:textId="77777777" w:rsidR="00B530C5" w:rsidRPr="00A36CB7" w:rsidRDefault="00B530C5" w:rsidP="00A36CB7">
      <w:pPr>
        <w:widowControl/>
        <w:spacing w:before="120" w:after="120" w:line="259" w:lineRule="auto"/>
        <w:rPr>
          <w:i/>
          <w:iCs/>
          <w:lang w:bidi="ar-SA"/>
        </w:rPr>
      </w:pPr>
      <w:r w:rsidRPr="00A36CB7">
        <w:rPr>
          <w:lang w:bidi="ar-SA"/>
        </w:rPr>
        <w:t xml:space="preserve">Covance Laboratories Ltd (2016) Xylanase, batch PPQ40100: </w:t>
      </w:r>
      <w:r w:rsidRPr="00A36CB7">
        <w:rPr>
          <w:i/>
          <w:iCs/>
          <w:lang w:bidi="ar-SA"/>
        </w:rPr>
        <w:t>In Vitro</w:t>
      </w:r>
      <w:r w:rsidRPr="00A36CB7">
        <w:rPr>
          <w:lang w:bidi="ar-SA"/>
        </w:rPr>
        <w:t xml:space="preserve"> Human Lymphocyte Micronucleus Assay. </w:t>
      </w:r>
      <w:r w:rsidRPr="00A36CB7">
        <w:rPr>
          <w:i/>
          <w:iCs/>
          <w:lang w:bidi="ar-SA"/>
        </w:rPr>
        <w:t>Study Number: 8336501</w:t>
      </w:r>
    </w:p>
    <w:p w14:paraId="59E708DF" w14:textId="77777777" w:rsidR="005675A9" w:rsidRDefault="00B530C5" w:rsidP="004C65CF">
      <w:pPr>
        <w:rPr>
          <w:rFonts w:cs="Arial"/>
          <w:szCs w:val="22"/>
        </w:rPr>
      </w:pPr>
      <w:r w:rsidRPr="00A36CB7">
        <w:rPr>
          <w:rFonts w:eastAsia="Arial" w:cs="Arial"/>
          <w:color w:val="000000" w:themeColor="text1"/>
          <w:szCs w:val="22"/>
        </w:rPr>
        <w:t xml:space="preserve">Douglass JS, </w:t>
      </w:r>
      <w:proofErr w:type="spellStart"/>
      <w:r w:rsidRPr="00A36CB7">
        <w:rPr>
          <w:rFonts w:eastAsia="Arial" w:cs="Arial"/>
          <w:color w:val="000000" w:themeColor="text1"/>
          <w:szCs w:val="22"/>
        </w:rPr>
        <w:t>Barraj</w:t>
      </w:r>
      <w:proofErr w:type="spellEnd"/>
      <w:r w:rsidRPr="00A36CB7">
        <w:rPr>
          <w:rFonts w:eastAsia="Arial" w:cs="Arial"/>
          <w:color w:val="000000" w:themeColor="text1"/>
          <w:szCs w:val="22"/>
        </w:rPr>
        <w:t xml:space="preserve"> LM, Tennant DR, Long WR and </w:t>
      </w:r>
      <w:proofErr w:type="spellStart"/>
      <w:r w:rsidRPr="00A36CB7">
        <w:rPr>
          <w:rFonts w:eastAsia="Arial" w:cs="Arial"/>
          <w:color w:val="000000" w:themeColor="text1"/>
          <w:szCs w:val="22"/>
        </w:rPr>
        <w:t>Chaisson</w:t>
      </w:r>
      <w:proofErr w:type="spellEnd"/>
      <w:r w:rsidRPr="00A36CB7">
        <w:rPr>
          <w:rFonts w:eastAsia="Arial" w:cs="Arial"/>
          <w:color w:val="000000" w:themeColor="text1"/>
          <w:szCs w:val="22"/>
        </w:rPr>
        <w:t xml:space="preserve"> CF (1997) ‘Evaluation of the Budget Method for screening food additive intakes, Food Additives and Contaminants’ 14:791-802.</w:t>
      </w:r>
    </w:p>
    <w:p w14:paraId="1CBAA3ED" w14:textId="43CF301D" w:rsidR="00630F9C" w:rsidRDefault="00630F9C" w:rsidP="007B6EF9">
      <w:pPr>
        <w:spacing w:before="240"/>
        <w:rPr>
          <w:rFonts w:cs="Arial"/>
          <w:szCs w:val="22"/>
        </w:rPr>
      </w:pPr>
      <w:r w:rsidRPr="00630F9C">
        <w:rPr>
          <w:rFonts w:cs="Arial"/>
          <w:szCs w:val="22"/>
        </w:rPr>
        <w:t xml:space="preserve">Elms J, Fishwick D, Walker J, </w:t>
      </w:r>
      <w:proofErr w:type="spellStart"/>
      <w:r w:rsidRPr="00630F9C">
        <w:rPr>
          <w:rFonts w:cs="Arial"/>
          <w:szCs w:val="22"/>
        </w:rPr>
        <w:t>Rawbone</w:t>
      </w:r>
      <w:proofErr w:type="spellEnd"/>
      <w:r w:rsidRPr="00630F9C">
        <w:rPr>
          <w:rFonts w:cs="Arial"/>
          <w:szCs w:val="22"/>
        </w:rPr>
        <w:t xml:space="preserve"> R, Jeffrey P, Griffin P, Gibson M, Curran AD.</w:t>
      </w:r>
      <w:r>
        <w:rPr>
          <w:rFonts w:cs="Arial"/>
          <w:szCs w:val="22"/>
        </w:rPr>
        <w:t xml:space="preserve"> (2003) </w:t>
      </w:r>
      <w:r w:rsidRPr="00630F9C">
        <w:rPr>
          <w:rFonts w:cs="Arial"/>
          <w:szCs w:val="22"/>
        </w:rPr>
        <w:t xml:space="preserve">Prevalence of sensitisation to cellulase and xylanase in bakery workers. </w:t>
      </w:r>
      <w:proofErr w:type="spellStart"/>
      <w:r w:rsidRPr="00630F9C">
        <w:rPr>
          <w:rFonts w:cs="Arial"/>
          <w:szCs w:val="22"/>
        </w:rPr>
        <w:t>Occup</w:t>
      </w:r>
      <w:proofErr w:type="spellEnd"/>
      <w:r w:rsidRPr="00630F9C">
        <w:rPr>
          <w:rFonts w:cs="Arial"/>
          <w:szCs w:val="22"/>
        </w:rPr>
        <w:t xml:space="preserve"> Environ Med. 60(10):802-4.</w:t>
      </w:r>
    </w:p>
    <w:p w14:paraId="5FB7F9CC" w14:textId="77777777" w:rsidR="00B530C5" w:rsidRPr="00A36CB7" w:rsidRDefault="00B530C5" w:rsidP="00A36CB7">
      <w:pPr>
        <w:widowControl/>
        <w:spacing w:before="120" w:after="120" w:line="259" w:lineRule="auto"/>
        <w:rPr>
          <w:lang w:bidi="ar-SA"/>
        </w:rPr>
      </w:pPr>
      <w:proofErr w:type="spellStart"/>
      <w:r w:rsidRPr="00A36CB7">
        <w:rPr>
          <w:lang w:bidi="ar-SA"/>
        </w:rPr>
        <w:t>Envigo</w:t>
      </w:r>
      <w:proofErr w:type="spellEnd"/>
      <w:r w:rsidRPr="00A36CB7">
        <w:rPr>
          <w:lang w:bidi="ar-SA"/>
        </w:rPr>
        <w:t xml:space="preserve"> CRS Ltd (2016) </w:t>
      </w:r>
      <w:proofErr w:type="spellStart"/>
      <w:r w:rsidRPr="00A36CB7">
        <w:rPr>
          <w:lang w:bidi="ar-SA"/>
        </w:rPr>
        <w:t>Arabinofuranosidase</w:t>
      </w:r>
      <w:proofErr w:type="spellEnd"/>
      <w:r w:rsidRPr="00A36CB7">
        <w:rPr>
          <w:lang w:bidi="ar-SA"/>
        </w:rPr>
        <w:t xml:space="preserve">, Batch PPH40331: Xylanase, Batch PPQ40100:  Toxicity Study by Oral Gavage Administration to Han Wistar Rats for 13 Weeks. </w:t>
      </w:r>
      <w:r w:rsidRPr="00A36CB7">
        <w:rPr>
          <w:i/>
          <w:iCs/>
          <w:lang w:bidi="ar-SA"/>
        </w:rPr>
        <w:t>Study Number: DK60TW</w:t>
      </w:r>
    </w:p>
    <w:p w14:paraId="2FF6E5D2" w14:textId="77777777" w:rsidR="00B530C5" w:rsidRPr="00A36CB7" w:rsidRDefault="00B530C5" w:rsidP="00A36CB7">
      <w:pPr>
        <w:widowControl/>
        <w:spacing w:before="120" w:after="120" w:line="259" w:lineRule="auto"/>
        <w:rPr>
          <w:rFonts w:eastAsia="Arial" w:cs="Arial"/>
          <w:color w:val="000000" w:themeColor="text1"/>
          <w:szCs w:val="22"/>
        </w:rPr>
      </w:pPr>
      <w:r w:rsidRPr="00A36CB7">
        <w:rPr>
          <w:rFonts w:eastAsia="Arial" w:cs="Arial"/>
          <w:color w:val="000000" w:themeColor="text1"/>
          <w:szCs w:val="22"/>
        </w:rPr>
        <w:lastRenderedPageBreak/>
        <w:t>FAO/WHO (2009) ‘Environmental Health Criteria 240. Principles and Methods for the Risk Assessment of Chemicals in Food’ Chapter 6 – Dietary exposure assessment of chemicals in food, WHO, Geneva.</w:t>
      </w:r>
    </w:p>
    <w:p w14:paraId="2DDB738B" w14:textId="77777777" w:rsidR="00B530C5" w:rsidRPr="00A36CB7" w:rsidRDefault="00B530C5" w:rsidP="00A36CB7">
      <w:pPr>
        <w:widowControl/>
        <w:spacing w:before="120" w:after="120" w:line="259" w:lineRule="auto"/>
        <w:rPr>
          <w:rFonts w:eastAsia="Arial" w:cs="Arial"/>
          <w:color w:val="000000" w:themeColor="text1"/>
          <w:szCs w:val="22"/>
        </w:rPr>
      </w:pPr>
      <w:r w:rsidRPr="00A36CB7">
        <w:rPr>
          <w:rFonts w:eastAsia="Arial" w:cs="Arial"/>
          <w:color w:val="000000" w:themeColor="text1"/>
          <w:szCs w:val="22"/>
        </w:rPr>
        <w:t xml:space="preserve">FAO/WHO (2020) Environmental Health Criteria 240. Principles and Methods for the Risk Assessment of Chemicals in Food. Chapter 6: Dietary exposure assessment of chemicals in food. Second Edition 2020. WHO, Geneva. </w:t>
      </w:r>
      <w:hyperlink r:id="rId23">
        <w:r w:rsidRPr="00A36CB7">
          <w:rPr>
            <w:color w:val="3333FF"/>
            <w:szCs w:val="22"/>
            <w:u w:val="single"/>
          </w:rPr>
          <w:t>https://www.who.int/docs/default-source/food-safety/publications/chapter6-dietary-exposure.pdf?sfvrsn=26d37b15_6</w:t>
        </w:r>
      </w:hyperlink>
      <w:r w:rsidRPr="00A36CB7">
        <w:rPr>
          <w:rFonts w:eastAsia="Arial" w:cs="Arial"/>
          <w:color w:val="000000" w:themeColor="text1"/>
          <w:szCs w:val="22"/>
        </w:rPr>
        <w:t> </w:t>
      </w:r>
    </w:p>
    <w:p w14:paraId="56EC758F" w14:textId="77777777" w:rsidR="00B530C5" w:rsidRPr="00A36CB7" w:rsidRDefault="00B530C5" w:rsidP="00A36CB7">
      <w:pPr>
        <w:widowControl/>
        <w:spacing w:before="120" w:after="120" w:line="259" w:lineRule="auto"/>
        <w:rPr>
          <w:rFonts w:eastAsia="Arial" w:cs="Arial"/>
          <w:color w:val="000000" w:themeColor="text1"/>
          <w:szCs w:val="22"/>
        </w:rPr>
      </w:pPr>
      <w:r w:rsidRPr="00A36CB7">
        <w:rPr>
          <w:rFonts w:eastAsia="Arial" w:cs="Arial"/>
          <w:color w:val="000000" w:themeColor="text1"/>
          <w:szCs w:val="22"/>
        </w:rPr>
        <w:t>FAO/WHO (2021) Evaluation of certain food additives: eighty-ninth report of the Joint FAO/WHO Expert Committee on Food Additives. WHO Technical Report Series, No. 1027.</w:t>
      </w:r>
    </w:p>
    <w:p w14:paraId="4EFF5186" w14:textId="77777777" w:rsidR="00DB7BA2" w:rsidRDefault="00B530C5" w:rsidP="00AD1D59">
      <w:pPr>
        <w:rPr>
          <w:rFonts w:cs="Arial"/>
          <w:szCs w:val="22"/>
        </w:rPr>
      </w:pPr>
      <w:r w:rsidRPr="00AE229F">
        <w:rPr>
          <w:rFonts w:cs="Arial"/>
          <w:szCs w:val="22"/>
        </w:rPr>
        <w:t xml:space="preserve">FAO/WHO (Food and Agriculture Organization of the United Nations/World Health Organization) </w:t>
      </w:r>
      <w:r w:rsidR="00280CCE">
        <w:rPr>
          <w:rFonts w:cs="Arial"/>
          <w:szCs w:val="22"/>
        </w:rPr>
        <w:t>(</w:t>
      </w:r>
      <w:r w:rsidRPr="00AE229F">
        <w:rPr>
          <w:rFonts w:cs="Arial"/>
          <w:szCs w:val="22"/>
        </w:rPr>
        <w:t>2006</w:t>
      </w:r>
      <w:r w:rsidR="00280CCE">
        <w:rPr>
          <w:rFonts w:cs="Arial"/>
          <w:szCs w:val="22"/>
        </w:rPr>
        <w:t>)</w:t>
      </w:r>
      <w:r w:rsidRPr="00AE229F">
        <w:rPr>
          <w:rFonts w:cs="Arial"/>
          <w:szCs w:val="22"/>
        </w:rPr>
        <w:t xml:space="preserve"> General specifications and considerations for enzyme preparations used in food processing in Compendium of food additive specifications. 67th meeting. FAO </w:t>
      </w:r>
    </w:p>
    <w:p w14:paraId="2C1A6912" w14:textId="7F8E0857" w:rsidR="00B530C5" w:rsidRDefault="00B530C5" w:rsidP="00FB5D37">
      <w:pPr>
        <w:spacing w:before="240"/>
        <w:rPr>
          <w:rFonts w:cs="Arial"/>
          <w:szCs w:val="22"/>
          <w:lang w:eastAsia="fr-FR" w:bidi="ar-SA"/>
        </w:rPr>
      </w:pPr>
      <w:r w:rsidRPr="00AE229F">
        <w:rPr>
          <w:rFonts w:cs="Arial"/>
          <w:szCs w:val="22"/>
        </w:rPr>
        <w:t xml:space="preserve">JECFA Monographs, 3, 63–67. Available online: </w:t>
      </w:r>
      <w:hyperlink r:id="rId24" w:history="1">
        <w:r w:rsidRPr="00AE229F">
          <w:rPr>
            <w:rStyle w:val="Hyperlink"/>
            <w:szCs w:val="22"/>
          </w:rPr>
          <w:t>Compendium of Food Additive Specifications. Joint FAO/WHO Expert Committee on Food Additives (JECFA), 67th meeting 2006. FAO JECFA Monographs 3</w:t>
        </w:r>
      </w:hyperlink>
      <w:r w:rsidRPr="00BD777F">
        <w:rPr>
          <w:rFonts w:cs="Arial"/>
          <w:szCs w:val="22"/>
        </w:rPr>
        <w:t>FCC (20</w:t>
      </w:r>
      <w:r w:rsidR="00790249">
        <w:rPr>
          <w:rFonts w:cs="Arial"/>
          <w:szCs w:val="22"/>
        </w:rPr>
        <w:t>20</w:t>
      </w:r>
      <w:r w:rsidRPr="00BD777F">
        <w:rPr>
          <w:rFonts w:cs="Arial"/>
          <w:szCs w:val="22"/>
        </w:rPr>
        <w:t xml:space="preserve">) Enzyme preparations. In: Food Chemicals Codex, </w:t>
      </w:r>
      <w:r w:rsidR="00790249">
        <w:rPr>
          <w:rFonts w:cs="Arial"/>
          <w:szCs w:val="22"/>
        </w:rPr>
        <w:t>12th</w:t>
      </w:r>
      <w:r w:rsidRPr="00BD777F">
        <w:rPr>
          <w:rFonts w:cs="Arial"/>
          <w:szCs w:val="22"/>
        </w:rPr>
        <w:t xml:space="preserve"> edition. Rockville (MD): United States Ph</w:t>
      </w:r>
      <w:r>
        <w:rPr>
          <w:rFonts w:cs="Arial"/>
          <w:szCs w:val="22"/>
        </w:rPr>
        <w:t>armacopeial Convention</w:t>
      </w:r>
      <w:r w:rsidR="00790249">
        <w:rPr>
          <w:rFonts w:cs="Arial"/>
          <w:szCs w:val="22"/>
        </w:rPr>
        <w:t>.</w:t>
      </w:r>
    </w:p>
    <w:p w14:paraId="717DC96E" w14:textId="17C5DFBC" w:rsidR="00F11D6D" w:rsidRDefault="002C00D1" w:rsidP="007B6EF9">
      <w:pPr>
        <w:spacing w:before="240"/>
        <w:rPr>
          <w:rFonts w:eastAsia="Arial" w:cs="Arial"/>
          <w:szCs w:val="22"/>
        </w:rPr>
      </w:pPr>
      <w:proofErr w:type="spellStart"/>
      <w:r w:rsidRPr="002045B0">
        <w:rPr>
          <w:rFonts w:eastAsia="Arial" w:cs="Arial"/>
          <w:szCs w:val="22"/>
        </w:rPr>
        <w:t>Frisvad</w:t>
      </w:r>
      <w:proofErr w:type="spellEnd"/>
      <w:r w:rsidRPr="002045B0">
        <w:rPr>
          <w:rFonts w:eastAsia="Arial" w:cs="Arial"/>
          <w:szCs w:val="22"/>
        </w:rPr>
        <w:t xml:space="preserve"> JC, </w:t>
      </w:r>
      <w:proofErr w:type="spellStart"/>
      <w:r w:rsidRPr="002045B0">
        <w:rPr>
          <w:rFonts w:eastAsia="Arial" w:cs="Arial"/>
          <w:szCs w:val="22"/>
        </w:rPr>
        <w:t>Møller</w:t>
      </w:r>
      <w:proofErr w:type="spellEnd"/>
      <w:r w:rsidRPr="002045B0">
        <w:rPr>
          <w:rFonts w:eastAsia="Arial" w:cs="Arial"/>
          <w:szCs w:val="22"/>
        </w:rPr>
        <w:t xml:space="preserve"> LL, Larsen TO, Kumar R, </w:t>
      </w:r>
      <w:proofErr w:type="spellStart"/>
      <w:r w:rsidRPr="002045B0">
        <w:rPr>
          <w:rFonts w:eastAsia="Arial" w:cs="Arial"/>
          <w:szCs w:val="22"/>
        </w:rPr>
        <w:t>Arnau</w:t>
      </w:r>
      <w:proofErr w:type="spellEnd"/>
      <w:r w:rsidRPr="002045B0">
        <w:rPr>
          <w:rFonts w:eastAsia="Arial" w:cs="Arial"/>
          <w:szCs w:val="22"/>
        </w:rPr>
        <w:t xml:space="preserve"> J</w:t>
      </w:r>
      <w:r w:rsidRPr="00FB483C">
        <w:rPr>
          <w:rFonts w:eastAsia="Arial" w:cs="Arial"/>
          <w:szCs w:val="22"/>
        </w:rPr>
        <w:t>.</w:t>
      </w:r>
      <w:r>
        <w:rPr>
          <w:rFonts w:eastAsia="Arial" w:cs="Arial"/>
          <w:szCs w:val="22"/>
        </w:rPr>
        <w:t xml:space="preserve"> (</w:t>
      </w:r>
      <w:r w:rsidRPr="00FB483C">
        <w:rPr>
          <w:rFonts w:eastAsia="Arial" w:cs="Arial"/>
          <w:szCs w:val="22"/>
        </w:rPr>
        <w:t>2018</w:t>
      </w:r>
      <w:r>
        <w:rPr>
          <w:rFonts w:eastAsia="Arial" w:cs="Arial"/>
          <w:szCs w:val="22"/>
        </w:rPr>
        <w:t>) ‘</w:t>
      </w:r>
      <w:r w:rsidRPr="00FB483C">
        <w:rPr>
          <w:rFonts w:eastAsia="Arial" w:cs="Arial"/>
          <w:szCs w:val="22"/>
        </w:rPr>
        <w:t xml:space="preserve">Safety of the fungal workhorses of industrial biotechnology: update on the mycotoxin and secondary metabolite potential of Aspergillus </w:t>
      </w:r>
      <w:proofErr w:type="spellStart"/>
      <w:r w:rsidRPr="00FB483C">
        <w:rPr>
          <w:rFonts w:eastAsia="Arial" w:cs="Arial"/>
          <w:szCs w:val="22"/>
        </w:rPr>
        <w:t>niger</w:t>
      </w:r>
      <w:proofErr w:type="spellEnd"/>
      <w:r w:rsidRPr="00FB483C">
        <w:rPr>
          <w:rFonts w:eastAsia="Arial" w:cs="Arial"/>
          <w:szCs w:val="22"/>
        </w:rPr>
        <w:t xml:space="preserve">, Aspergillus </w:t>
      </w:r>
      <w:proofErr w:type="spellStart"/>
      <w:r w:rsidRPr="00FB483C">
        <w:rPr>
          <w:rFonts w:eastAsia="Arial" w:cs="Arial"/>
          <w:szCs w:val="22"/>
        </w:rPr>
        <w:t>oryzae</w:t>
      </w:r>
      <w:proofErr w:type="spellEnd"/>
      <w:r w:rsidRPr="00FB483C">
        <w:rPr>
          <w:rFonts w:eastAsia="Arial" w:cs="Arial"/>
          <w:szCs w:val="22"/>
        </w:rPr>
        <w:t xml:space="preserve">, and Trichoderma </w:t>
      </w:r>
      <w:proofErr w:type="spellStart"/>
      <w:r w:rsidRPr="00FB483C">
        <w:rPr>
          <w:rFonts w:eastAsia="Arial" w:cs="Arial"/>
          <w:szCs w:val="22"/>
        </w:rPr>
        <w:t>reesei</w:t>
      </w:r>
      <w:proofErr w:type="spellEnd"/>
      <w:r>
        <w:rPr>
          <w:rFonts w:eastAsia="Arial" w:cs="Arial"/>
          <w:szCs w:val="22"/>
        </w:rPr>
        <w:t>’,</w:t>
      </w:r>
      <w:r w:rsidRPr="00FB483C">
        <w:rPr>
          <w:rFonts w:eastAsia="Arial" w:cs="Arial"/>
          <w:szCs w:val="22"/>
        </w:rPr>
        <w:t xml:space="preserve"> </w:t>
      </w:r>
      <w:r w:rsidRPr="0005446C">
        <w:rPr>
          <w:rFonts w:eastAsia="Arial" w:cs="Arial"/>
          <w:i/>
          <w:iCs/>
          <w:szCs w:val="22"/>
        </w:rPr>
        <w:t>Applied Microbiology and Biotechnology</w:t>
      </w:r>
      <w:r w:rsidRPr="00FB483C">
        <w:rPr>
          <w:rFonts w:eastAsia="Arial" w:cs="Arial"/>
          <w:szCs w:val="22"/>
        </w:rPr>
        <w:t>, 102(22)</w:t>
      </w:r>
      <w:r>
        <w:rPr>
          <w:rFonts w:eastAsia="Arial" w:cs="Arial"/>
          <w:szCs w:val="22"/>
        </w:rPr>
        <w:t>:</w:t>
      </w:r>
      <w:r w:rsidRPr="00FB483C">
        <w:rPr>
          <w:rFonts w:eastAsia="Arial" w:cs="Arial"/>
          <w:szCs w:val="22"/>
        </w:rPr>
        <w:t>9481-9515.</w:t>
      </w:r>
    </w:p>
    <w:p w14:paraId="34383A04" w14:textId="77777777" w:rsidR="00B530C5" w:rsidRDefault="00B530C5" w:rsidP="007B6EF9">
      <w:pPr>
        <w:spacing w:before="240"/>
      </w:pPr>
      <w:r>
        <w:t xml:space="preserve">IUBMB (2022) </w:t>
      </w:r>
      <w:hyperlink r:id="rId25" w:history="1">
        <w:r w:rsidRPr="00A16893">
          <w:rPr>
            <w:rStyle w:val="Hyperlink"/>
          </w:rPr>
          <w:t>EC 3.2.1.8 (qmul.ac.uk)</w:t>
        </w:r>
      </w:hyperlink>
      <w:r>
        <w:t xml:space="preserve"> (website last updated July 2022)</w:t>
      </w:r>
    </w:p>
    <w:p w14:paraId="4A1A5CB9" w14:textId="5F24748C" w:rsidR="006B4897" w:rsidRPr="00D3073D" w:rsidRDefault="006B4897" w:rsidP="007B6EF9">
      <w:pPr>
        <w:spacing w:before="240"/>
        <w:rPr>
          <w:rFonts w:eastAsia="Arial" w:cs="Arial"/>
        </w:rPr>
      </w:pPr>
      <w:proofErr w:type="spellStart"/>
      <w:r w:rsidRPr="6BAAFDA6">
        <w:rPr>
          <w:rFonts w:eastAsia="Arial" w:cs="Arial"/>
          <w:szCs w:val="22"/>
        </w:rPr>
        <w:t>Kubicek</w:t>
      </w:r>
      <w:proofErr w:type="spellEnd"/>
      <w:r w:rsidRPr="6BAAFDA6">
        <w:rPr>
          <w:rFonts w:eastAsia="Arial" w:cs="Arial"/>
          <w:szCs w:val="22"/>
        </w:rPr>
        <w:t xml:space="preserve"> CP, </w:t>
      </w:r>
      <w:proofErr w:type="spellStart"/>
      <w:r w:rsidRPr="6BAAFDA6">
        <w:rPr>
          <w:rFonts w:eastAsia="Arial" w:cs="Arial"/>
          <w:szCs w:val="22"/>
        </w:rPr>
        <w:t>Komoń-Zelazowska</w:t>
      </w:r>
      <w:proofErr w:type="spellEnd"/>
      <w:r w:rsidRPr="6BAAFDA6">
        <w:rPr>
          <w:rFonts w:eastAsia="Arial" w:cs="Arial"/>
          <w:szCs w:val="22"/>
        </w:rPr>
        <w:t xml:space="preserve"> M, </w:t>
      </w:r>
      <w:proofErr w:type="spellStart"/>
      <w:r w:rsidRPr="6BAAFDA6">
        <w:rPr>
          <w:rFonts w:eastAsia="Arial" w:cs="Arial"/>
          <w:szCs w:val="22"/>
        </w:rPr>
        <w:t>Sándor</w:t>
      </w:r>
      <w:proofErr w:type="spellEnd"/>
      <w:r w:rsidRPr="6BAAFDA6">
        <w:rPr>
          <w:rFonts w:eastAsia="Arial" w:cs="Arial"/>
          <w:szCs w:val="22"/>
        </w:rPr>
        <w:t xml:space="preserve"> E, </w:t>
      </w:r>
      <w:proofErr w:type="spellStart"/>
      <w:r w:rsidRPr="6BAAFDA6">
        <w:rPr>
          <w:rFonts w:eastAsia="Arial" w:cs="Arial"/>
          <w:szCs w:val="22"/>
        </w:rPr>
        <w:t>Druzhinina</w:t>
      </w:r>
      <w:proofErr w:type="spellEnd"/>
      <w:r w:rsidRPr="6BAAFDA6">
        <w:rPr>
          <w:rFonts w:eastAsia="Arial" w:cs="Arial"/>
          <w:szCs w:val="22"/>
        </w:rPr>
        <w:t xml:space="preserve"> IS (2007)</w:t>
      </w:r>
      <w:r>
        <w:rPr>
          <w:rFonts w:eastAsia="Arial" w:cs="Arial"/>
          <w:szCs w:val="22"/>
        </w:rPr>
        <w:t xml:space="preserve"> ‘</w:t>
      </w:r>
      <w:r w:rsidRPr="6BAAFDA6">
        <w:rPr>
          <w:rFonts w:eastAsia="Arial" w:cs="Arial"/>
          <w:szCs w:val="22"/>
        </w:rPr>
        <w:t>Facts and Challenges in the Understanding of Biosynthesis of Peptaibols by Trichoderma</w:t>
      </w:r>
      <w:r>
        <w:rPr>
          <w:rFonts w:eastAsia="Arial" w:cs="Arial"/>
          <w:szCs w:val="22"/>
        </w:rPr>
        <w:t>’,</w:t>
      </w:r>
      <w:r w:rsidRPr="6BAAFDA6">
        <w:rPr>
          <w:rFonts w:eastAsia="Arial" w:cs="Arial"/>
          <w:szCs w:val="22"/>
        </w:rPr>
        <w:t xml:space="preserve"> </w:t>
      </w:r>
      <w:r w:rsidRPr="0005446C">
        <w:rPr>
          <w:rFonts w:eastAsia="Arial" w:cs="Arial"/>
          <w:i/>
          <w:iCs/>
          <w:szCs w:val="22"/>
        </w:rPr>
        <w:t>Chemistry and Biodiversity,</w:t>
      </w:r>
      <w:r w:rsidRPr="6BAAFDA6">
        <w:rPr>
          <w:rFonts w:eastAsia="Arial" w:cs="Arial"/>
          <w:szCs w:val="22"/>
        </w:rPr>
        <w:t xml:space="preserve"> 4(6)</w:t>
      </w:r>
      <w:r>
        <w:rPr>
          <w:rFonts w:eastAsia="Arial" w:cs="Arial"/>
          <w:szCs w:val="22"/>
        </w:rPr>
        <w:t>:</w:t>
      </w:r>
      <w:r w:rsidRPr="6BAAFDA6">
        <w:rPr>
          <w:rFonts w:eastAsia="Arial" w:cs="Arial"/>
          <w:szCs w:val="22"/>
        </w:rPr>
        <w:t>1068-1082.</w:t>
      </w:r>
    </w:p>
    <w:p w14:paraId="6C168657" w14:textId="4039DECD" w:rsidR="00B530C5" w:rsidRDefault="00B530C5" w:rsidP="007B6EF9">
      <w:pPr>
        <w:spacing w:before="240"/>
        <w:rPr>
          <w:rFonts w:cs="Arial"/>
          <w:szCs w:val="22"/>
          <w:lang w:eastAsia="en-AU" w:bidi="ar-SA"/>
        </w:rPr>
      </w:pPr>
      <w:r>
        <w:rPr>
          <w:rFonts w:cs="Arial"/>
          <w:szCs w:val="22"/>
          <w:lang w:eastAsia="en-AU" w:bidi="ar-SA"/>
        </w:rPr>
        <w:t>McDonald AG, Boyce S, Tipton KF (2009)</w:t>
      </w:r>
      <w:r w:rsidRPr="00243AD6">
        <w:rPr>
          <w:rFonts w:cs="Arial"/>
          <w:szCs w:val="22"/>
          <w:lang w:eastAsia="en-AU" w:bidi="ar-SA"/>
        </w:rPr>
        <w:t xml:space="preserve"> </w:t>
      </w:r>
      <w:proofErr w:type="spellStart"/>
      <w:r w:rsidRPr="00243AD6">
        <w:rPr>
          <w:rFonts w:cs="Arial"/>
          <w:szCs w:val="22"/>
          <w:lang w:eastAsia="en-AU" w:bidi="ar-SA"/>
        </w:rPr>
        <w:t>ExplorEnz</w:t>
      </w:r>
      <w:proofErr w:type="spellEnd"/>
      <w:r w:rsidRPr="00243AD6">
        <w:rPr>
          <w:rFonts w:cs="Arial"/>
          <w:szCs w:val="22"/>
          <w:lang w:eastAsia="en-AU" w:bidi="ar-SA"/>
        </w:rPr>
        <w:t>: the primary source of the IUBMB enzy</w:t>
      </w:r>
      <w:r>
        <w:rPr>
          <w:rFonts w:cs="Arial"/>
          <w:szCs w:val="22"/>
          <w:lang w:eastAsia="en-AU" w:bidi="ar-SA"/>
        </w:rPr>
        <w:t>me list. Nucleic Acids Res 37:D593–D597 (2009). DOI: 10.1093/</w:t>
      </w:r>
      <w:proofErr w:type="spellStart"/>
      <w:r>
        <w:rPr>
          <w:rFonts w:cs="Arial"/>
          <w:szCs w:val="22"/>
          <w:lang w:eastAsia="en-AU" w:bidi="ar-SA"/>
        </w:rPr>
        <w:t>nar</w:t>
      </w:r>
      <w:proofErr w:type="spellEnd"/>
      <w:r>
        <w:rPr>
          <w:rFonts w:cs="Arial"/>
          <w:szCs w:val="22"/>
          <w:lang w:eastAsia="en-AU" w:bidi="ar-SA"/>
        </w:rPr>
        <w:t>/gkn582</w:t>
      </w:r>
    </w:p>
    <w:p w14:paraId="58D50470" w14:textId="0A22857D" w:rsidR="00815980" w:rsidRDefault="00815980" w:rsidP="00A36CB7">
      <w:pPr>
        <w:widowControl/>
        <w:spacing w:before="120" w:after="120" w:line="259" w:lineRule="auto"/>
        <w:rPr>
          <w:rFonts w:cs="Arial"/>
          <w:shd w:val="clear" w:color="auto" w:fill="FFFFFF"/>
        </w:rPr>
      </w:pPr>
      <w:proofErr w:type="spellStart"/>
      <w:r w:rsidRPr="00815980">
        <w:rPr>
          <w:rFonts w:cs="Arial"/>
          <w:shd w:val="clear" w:color="auto" w:fill="FFFFFF"/>
        </w:rPr>
        <w:t>Merget</w:t>
      </w:r>
      <w:proofErr w:type="spellEnd"/>
      <w:r w:rsidRPr="00815980">
        <w:rPr>
          <w:rFonts w:cs="Arial"/>
          <w:shd w:val="clear" w:color="auto" w:fill="FFFFFF"/>
        </w:rPr>
        <w:t xml:space="preserve"> R, Sander I, </w:t>
      </w:r>
      <w:proofErr w:type="spellStart"/>
      <w:r w:rsidRPr="00815980">
        <w:rPr>
          <w:rFonts w:cs="Arial"/>
          <w:shd w:val="clear" w:color="auto" w:fill="FFFFFF"/>
        </w:rPr>
        <w:t>Raulf-Heimsoth</w:t>
      </w:r>
      <w:proofErr w:type="spellEnd"/>
      <w:r w:rsidRPr="00815980">
        <w:rPr>
          <w:rFonts w:cs="Arial"/>
          <w:shd w:val="clear" w:color="auto" w:fill="FFFFFF"/>
        </w:rPr>
        <w:t xml:space="preserve"> M, Baur X.</w:t>
      </w:r>
      <w:r>
        <w:rPr>
          <w:rFonts w:cs="Arial"/>
          <w:shd w:val="clear" w:color="auto" w:fill="FFFFFF"/>
        </w:rPr>
        <w:t xml:space="preserve"> </w:t>
      </w:r>
      <w:r w:rsidR="002674F6">
        <w:rPr>
          <w:rFonts w:cs="Arial"/>
          <w:shd w:val="clear" w:color="auto" w:fill="FFFFFF"/>
        </w:rPr>
        <w:t>(2001)</w:t>
      </w:r>
      <w:r w:rsidRPr="00815980">
        <w:rPr>
          <w:rFonts w:cs="Arial"/>
          <w:shd w:val="clear" w:color="auto" w:fill="FFFFFF"/>
        </w:rPr>
        <w:t xml:space="preserve"> Baker's asthma due to xylanase and cellulase without sensitization to alpha-amylase and only weak sensitization to flour. Int Arch Allergy Immunol. 124(4):502-5.</w:t>
      </w:r>
    </w:p>
    <w:p w14:paraId="6DFDB39F" w14:textId="31CD748F" w:rsidR="00AD6E64" w:rsidRDefault="00AD6E64" w:rsidP="00AD6E64">
      <w:proofErr w:type="spellStart"/>
      <w:r w:rsidRPr="6BAAFDA6">
        <w:rPr>
          <w:szCs w:val="22"/>
        </w:rPr>
        <w:t>Nevalainen</w:t>
      </w:r>
      <w:proofErr w:type="spellEnd"/>
      <w:r w:rsidRPr="6BAAFDA6">
        <w:rPr>
          <w:szCs w:val="22"/>
        </w:rPr>
        <w:t xml:space="preserve"> H and Peterson R (2014) ‘Making recombinant proteins in filamentous fungi - are we expecting too much?’</w:t>
      </w:r>
      <w:r>
        <w:rPr>
          <w:szCs w:val="22"/>
        </w:rPr>
        <w:t>,</w:t>
      </w:r>
      <w:r w:rsidRPr="6BAAFDA6">
        <w:rPr>
          <w:szCs w:val="22"/>
        </w:rPr>
        <w:t xml:space="preserve"> </w:t>
      </w:r>
      <w:r w:rsidRPr="6BAAFDA6">
        <w:rPr>
          <w:i/>
          <w:iCs/>
          <w:szCs w:val="22"/>
        </w:rPr>
        <w:t>Front</w:t>
      </w:r>
      <w:r>
        <w:rPr>
          <w:i/>
          <w:iCs/>
          <w:szCs w:val="22"/>
        </w:rPr>
        <w:t>iers of</w:t>
      </w:r>
      <w:r w:rsidRPr="6BAAFDA6">
        <w:rPr>
          <w:i/>
          <w:iCs/>
          <w:szCs w:val="22"/>
        </w:rPr>
        <w:t xml:space="preserve"> Microbiol</w:t>
      </w:r>
      <w:r>
        <w:rPr>
          <w:i/>
          <w:iCs/>
          <w:szCs w:val="22"/>
        </w:rPr>
        <w:t>ogy,</w:t>
      </w:r>
      <w:r w:rsidRPr="6BAAFDA6">
        <w:rPr>
          <w:szCs w:val="22"/>
        </w:rPr>
        <w:t xml:space="preserve"> 5:e75.</w:t>
      </w:r>
    </w:p>
    <w:p w14:paraId="288B6009" w14:textId="62C75797" w:rsidR="00CA0745" w:rsidRDefault="005D3DC0" w:rsidP="00A36CB7">
      <w:pPr>
        <w:widowControl/>
        <w:spacing w:before="120" w:after="120" w:line="259" w:lineRule="auto"/>
      </w:pPr>
      <w:proofErr w:type="spellStart"/>
      <w:r w:rsidRPr="6BAAFDA6">
        <w:rPr>
          <w:rFonts w:cs="Arial"/>
          <w:szCs w:val="22"/>
        </w:rPr>
        <w:t>Nevalinen</w:t>
      </w:r>
      <w:proofErr w:type="spellEnd"/>
      <w:r w:rsidRPr="6BAAFDA6">
        <w:rPr>
          <w:rFonts w:cs="Arial"/>
          <w:szCs w:val="22"/>
        </w:rPr>
        <w:t xml:space="preserve">  H, </w:t>
      </w:r>
      <w:proofErr w:type="spellStart"/>
      <w:r w:rsidRPr="6BAAFDA6">
        <w:rPr>
          <w:rFonts w:cs="Arial"/>
          <w:szCs w:val="22"/>
        </w:rPr>
        <w:t>Suominen</w:t>
      </w:r>
      <w:proofErr w:type="spellEnd"/>
      <w:r w:rsidRPr="6BAAFDA6">
        <w:rPr>
          <w:rFonts w:cs="Arial"/>
          <w:szCs w:val="22"/>
        </w:rPr>
        <w:t xml:space="preserve"> P, </w:t>
      </w:r>
      <w:proofErr w:type="spellStart"/>
      <w:r w:rsidRPr="6BAAFDA6">
        <w:rPr>
          <w:rFonts w:cs="Arial"/>
          <w:szCs w:val="22"/>
        </w:rPr>
        <w:t>Taimisto</w:t>
      </w:r>
      <w:proofErr w:type="spellEnd"/>
      <w:r w:rsidRPr="6BAAFDA6">
        <w:rPr>
          <w:rFonts w:cs="Arial"/>
          <w:szCs w:val="22"/>
        </w:rPr>
        <w:t xml:space="preserve">  K (1994) </w:t>
      </w:r>
      <w:r>
        <w:rPr>
          <w:rFonts w:cs="Arial"/>
          <w:szCs w:val="22"/>
        </w:rPr>
        <w:t>‘</w:t>
      </w:r>
      <w:r w:rsidRPr="6BAAFDA6">
        <w:rPr>
          <w:rFonts w:cs="Arial"/>
          <w:szCs w:val="22"/>
        </w:rPr>
        <w:t xml:space="preserve">Minireview. On the Safety of Trichoderma </w:t>
      </w:r>
      <w:proofErr w:type="spellStart"/>
      <w:r w:rsidRPr="6BAAFDA6">
        <w:rPr>
          <w:rFonts w:cs="Arial"/>
          <w:szCs w:val="22"/>
        </w:rPr>
        <w:t>Reesei</w:t>
      </w:r>
      <w:proofErr w:type="spellEnd"/>
      <w:r>
        <w:rPr>
          <w:rFonts w:cs="Arial"/>
          <w:szCs w:val="22"/>
        </w:rPr>
        <w:t>’,</w:t>
      </w:r>
      <w:r w:rsidRPr="6BAAFDA6">
        <w:rPr>
          <w:rFonts w:cs="Arial"/>
          <w:szCs w:val="22"/>
        </w:rPr>
        <w:t xml:space="preserve"> </w:t>
      </w:r>
      <w:r w:rsidRPr="0005446C">
        <w:rPr>
          <w:rFonts w:cs="Arial"/>
          <w:i/>
          <w:iCs/>
          <w:szCs w:val="22"/>
        </w:rPr>
        <w:t>Journal of Biotechnology</w:t>
      </w:r>
      <w:r w:rsidRPr="6BAAFDA6">
        <w:rPr>
          <w:rFonts w:cs="Arial"/>
          <w:szCs w:val="22"/>
        </w:rPr>
        <w:t>, 37</w:t>
      </w:r>
      <w:r>
        <w:rPr>
          <w:rFonts w:cs="Arial"/>
          <w:szCs w:val="22"/>
        </w:rPr>
        <w:t>:</w:t>
      </w:r>
      <w:r w:rsidRPr="6BAAFDA6">
        <w:rPr>
          <w:rFonts w:cs="Arial"/>
          <w:szCs w:val="22"/>
        </w:rPr>
        <w:t>193-200.</w:t>
      </w:r>
      <w:r w:rsidR="00B530C5" w:rsidRPr="00A36CB7">
        <w:t xml:space="preserve">OECD (2014). ‘Genetic Toxicology: OECD Guideline for the testing of chemicals. Guideline 487: </w:t>
      </w:r>
      <w:r w:rsidR="00B530C5" w:rsidRPr="00A36CB7">
        <w:rPr>
          <w:i/>
          <w:iCs/>
        </w:rPr>
        <w:t>In vitro</w:t>
      </w:r>
      <w:r w:rsidR="00B530C5" w:rsidRPr="00A36CB7">
        <w:t xml:space="preserve"> mammalian cell micronucleus test</w:t>
      </w:r>
    </w:p>
    <w:p w14:paraId="74093B62" w14:textId="4DB25426" w:rsidR="00A441BF" w:rsidRDefault="00CA0745" w:rsidP="00CA0745">
      <w:pPr>
        <w:rPr>
          <w:rFonts w:cs="Arial"/>
          <w:szCs w:val="22"/>
        </w:rPr>
      </w:pPr>
      <w:proofErr w:type="spellStart"/>
      <w:r w:rsidRPr="6BAAFDA6">
        <w:rPr>
          <w:rFonts w:cs="Arial"/>
          <w:szCs w:val="22"/>
        </w:rPr>
        <w:t>Olempska</w:t>
      </w:r>
      <w:proofErr w:type="spellEnd"/>
      <w:r w:rsidRPr="6BAAFDA6">
        <w:rPr>
          <w:rFonts w:cs="Arial"/>
          <w:szCs w:val="22"/>
        </w:rPr>
        <w:t xml:space="preserve">-Beer ZS, </w:t>
      </w:r>
      <w:proofErr w:type="spellStart"/>
      <w:r w:rsidRPr="6BAAFDA6">
        <w:rPr>
          <w:rFonts w:cs="Arial"/>
          <w:szCs w:val="22"/>
        </w:rPr>
        <w:t>Merker</w:t>
      </w:r>
      <w:proofErr w:type="spellEnd"/>
      <w:r w:rsidRPr="6BAAFDA6">
        <w:rPr>
          <w:rFonts w:cs="Arial"/>
          <w:szCs w:val="22"/>
        </w:rPr>
        <w:t xml:space="preserve"> RI, Ditto MD and </w:t>
      </w:r>
      <w:proofErr w:type="spellStart"/>
      <w:r w:rsidRPr="6BAAFDA6">
        <w:rPr>
          <w:rFonts w:cs="Arial"/>
          <w:szCs w:val="22"/>
        </w:rPr>
        <w:t>DiNovi</w:t>
      </w:r>
      <w:proofErr w:type="spellEnd"/>
      <w:r w:rsidRPr="6BAAFDA6">
        <w:rPr>
          <w:rFonts w:cs="Arial"/>
          <w:szCs w:val="22"/>
        </w:rPr>
        <w:t xml:space="preserve"> MJ (2006) </w:t>
      </w:r>
      <w:r>
        <w:rPr>
          <w:rFonts w:cs="Arial"/>
          <w:szCs w:val="22"/>
        </w:rPr>
        <w:t>‘</w:t>
      </w:r>
      <w:r w:rsidRPr="6BAAFDA6">
        <w:rPr>
          <w:rFonts w:cs="Arial"/>
          <w:szCs w:val="22"/>
        </w:rPr>
        <w:t xml:space="preserve">Food-processing enzymes from recombinant microorganisms – A review’ </w:t>
      </w:r>
      <w:r w:rsidRPr="6BAAFDA6">
        <w:rPr>
          <w:rFonts w:cs="Arial"/>
          <w:i/>
          <w:iCs/>
          <w:szCs w:val="22"/>
        </w:rPr>
        <w:t>Regulatory Toxicology and Pharmacology</w:t>
      </w:r>
      <w:r w:rsidRPr="6BAAFDA6">
        <w:rPr>
          <w:rFonts w:cs="Arial"/>
          <w:szCs w:val="22"/>
        </w:rPr>
        <w:t xml:space="preserve"> 45:144-158.</w:t>
      </w:r>
    </w:p>
    <w:p w14:paraId="189F10DF" w14:textId="39B1A184" w:rsidR="00CA0745" w:rsidRPr="00A441BF" w:rsidRDefault="00A441BF" w:rsidP="00650269">
      <w:pPr>
        <w:spacing w:before="240"/>
      </w:pPr>
      <w:proofErr w:type="spellStart"/>
      <w:r w:rsidRPr="6BAAFDA6">
        <w:rPr>
          <w:szCs w:val="22"/>
        </w:rPr>
        <w:t>Paloheimo</w:t>
      </w:r>
      <w:proofErr w:type="spellEnd"/>
      <w:r w:rsidRPr="6BAAFDA6">
        <w:rPr>
          <w:szCs w:val="22"/>
        </w:rPr>
        <w:t xml:space="preserve"> M, </w:t>
      </w:r>
      <w:proofErr w:type="spellStart"/>
      <w:r w:rsidRPr="6BAAFDA6">
        <w:rPr>
          <w:szCs w:val="22"/>
        </w:rPr>
        <w:t>Haarmann</w:t>
      </w:r>
      <w:proofErr w:type="spellEnd"/>
      <w:r w:rsidRPr="6BAAFDA6">
        <w:rPr>
          <w:szCs w:val="22"/>
        </w:rPr>
        <w:t xml:space="preserve"> T, </w:t>
      </w:r>
      <w:proofErr w:type="spellStart"/>
      <w:r w:rsidRPr="6BAAFDA6">
        <w:rPr>
          <w:szCs w:val="22"/>
        </w:rPr>
        <w:t>Mäkinen</w:t>
      </w:r>
      <w:proofErr w:type="spellEnd"/>
      <w:r w:rsidRPr="6BAAFDA6">
        <w:rPr>
          <w:szCs w:val="22"/>
        </w:rPr>
        <w:t xml:space="preserve"> S and </w:t>
      </w:r>
      <w:proofErr w:type="spellStart"/>
      <w:r w:rsidRPr="6BAAFDA6">
        <w:rPr>
          <w:szCs w:val="22"/>
        </w:rPr>
        <w:t>Vehmaanperä</w:t>
      </w:r>
      <w:proofErr w:type="spellEnd"/>
      <w:r w:rsidRPr="6BAAFDA6">
        <w:rPr>
          <w:szCs w:val="22"/>
        </w:rPr>
        <w:t xml:space="preserve"> J (2016) ‘Production of industrial enzymes in Trichoderma </w:t>
      </w:r>
      <w:proofErr w:type="spellStart"/>
      <w:r w:rsidRPr="6BAAFDA6">
        <w:rPr>
          <w:szCs w:val="22"/>
        </w:rPr>
        <w:t>reesei</w:t>
      </w:r>
      <w:proofErr w:type="spellEnd"/>
      <w:r w:rsidRPr="6BAAFDA6">
        <w:rPr>
          <w:szCs w:val="22"/>
        </w:rPr>
        <w:t>.</w:t>
      </w:r>
      <w:r>
        <w:rPr>
          <w:szCs w:val="22"/>
        </w:rPr>
        <w:t>’</w:t>
      </w:r>
      <w:r w:rsidRPr="6BAAFDA6">
        <w:rPr>
          <w:szCs w:val="22"/>
        </w:rPr>
        <w:t xml:space="preserve"> In: </w:t>
      </w:r>
      <w:proofErr w:type="spellStart"/>
      <w:r w:rsidRPr="6BAAFDA6">
        <w:rPr>
          <w:szCs w:val="22"/>
        </w:rPr>
        <w:t>Schmoll</w:t>
      </w:r>
      <w:proofErr w:type="spellEnd"/>
      <w:r w:rsidRPr="6BAAFDA6">
        <w:rPr>
          <w:szCs w:val="22"/>
        </w:rPr>
        <w:t xml:space="preserve"> M, </w:t>
      </w:r>
      <w:proofErr w:type="spellStart"/>
      <w:r w:rsidRPr="6BAAFDA6">
        <w:rPr>
          <w:szCs w:val="22"/>
        </w:rPr>
        <w:t>Dattenböck</w:t>
      </w:r>
      <w:proofErr w:type="spellEnd"/>
      <w:r w:rsidRPr="6BAAFDA6">
        <w:rPr>
          <w:szCs w:val="22"/>
        </w:rPr>
        <w:t xml:space="preserve"> C (Eds) Gene expression systems in Fungi: Advancements and Applications</w:t>
      </w:r>
      <w:r>
        <w:rPr>
          <w:szCs w:val="22"/>
        </w:rPr>
        <w:t>,</w:t>
      </w:r>
      <w:r w:rsidRPr="6BAAFDA6">
        <w:rPr>
          <w:szCs w:val="22"/>
        </w:rPr>
        <w:t xml:space="preserve"> Springer International Publishing, Switzerland, p.23-57.</w:t>
      </w:r>
    </w:p>
    <w:p w14:paraId="3AC2896E" w14:textId="77777777" w:rsidR="004D2A91" w:rsidRDefault="004D2A91" w:rsidP="00777483">
      <w:pPr>
        <w:spacing w:before="240"/>
        <w:rPr>
          <w:rFonts w:eastAsia="Arial" w:cs="Arial"/>
          <w:szCs w:val="22"/>
          <w:shd w:val="clear" w:color="auto" w:fill="FFFFFF"/>
        </w:rPr>
      </w:pPr>
      <w:r w:rsidRPr="6BAAFDA6">
        <w:rPr>
          <w:rFonts w:cs="Arial"/>
          <w:szCs w:val="22"/>
          <w:shd w:val="clear" w:color="auto" w:fill="FFFFFF"/>
        </w:rPr>
        <w:t xml:space="preserve">Peterson R and </w:t>
      </w:r>
      <w:proofErr w:type="spellStart"/>
      <w:r w:rsidRPr="6BAAFDA6">
        <w:rPr>
          <w:rFonts w:cs="Arial"/>
          <w:szCs w:val="22"/>
          <w:shd w:val="clear" w:color="auto" w:fill="FFFFFF"/>
        </w:rPr>
        <w:t>Nevalainen</w:t>
      </w:r>
      <w:proofErr w:type="spellEnd"/>
      <w:r w:rsidRPr="6BAAFDA6">
        <w:rPr>
          <w:rFonts w:cs="Arial"/>
          <w:szCs w:val="22"/>
          <w:shd w:val="clear" w:color="auto" w:fill="FFFFFF"/>
        </w:rPr>
        <w:t xml:space="preserve"> H (2012)</w:t>
      </w:r>
      <w:r>
        <w:rPr>
          <w:rFonts w:cs="Arial"/>
          <w:szCs w:val="22"/>
          <w:shd w:val="clear" w:color="auto" w:fill="FFFFFF"/>
        </w:rPr>
        <w:t xml:space="preserve"> ‘T</w:t>
      </w:r>
      <w:r w:rsidRPr="6BAAFDA6">
        <w:rPr>
          <w:rFonts w:cs="Arial"/>
          <w:szCs w:val="22"/>
          <w:shd w:val="clear" w:color="auto" w:fill="FFFFFF"/>
        </w:rPr>
        <w:t xml:space="preserve">richoderma </w:t>
      </w:r>
      <w:proofErr w:type="spellStart"/>
      <w:r w:rsidRPr="6BAAFDA6">
        <w:rPr>
          <w:rFonts w:cs="Arial"/>
          <w:szCs w:val="22"/>
          <w:shd w:val="clear" w:color="auto" w:fill="FFFFFF"/>
        </w:rPr>
        <w:t>reesei</w:t>
      </w:r>
      <w:proofErr w:type="spellEnd"/>
      <w:r w:rsidRPr="6BAAFDA6">
        <w:rPr>
          <w:rFonts w:cs="Arial"/>
          <w:szCs w:val="22"/>
          <w:shd w:val="clear" w:color="auto" w:fill="FFFFFF"/>
        </w:rPr>
        <w:t xml:space="preserve"> RUT-C30-thirty years of strain improvement</w:t>
      </w:r>
      <w:r>
        <w:rPr>
          <w:rFonts w:cs="Arial"/>
          <w:szCs w:val="22"/>
          <w:shd w:val="clear" w:color="auto" w:fill="FFFFFF"/>
        </w:rPr>
        <w:t>’,</w:t>
      </w:r>
      <w:r w:rsidRPr="6BAAFDA6">
        <w:rPr>
          <w:rFonts w:cs="Arial"/>
          <w:szCs w:val="22"/>
          <w:shd w:val="clear" w:color="auto" w:fill="FFFFFF"/>
        </w:rPr>
        <w:t xml:space="preserve"> </w:t>
      </w:r>
      <w:r w:rsidRPr="0005446C">
        <w:rPr>
          <w:rFonts w:cs="Arial"/>
          <w:i/>
          <w:iCs/>
          <w:szCs w:val="22"/>
          <w:shd w:val="clear" w:color="auto" w:fill="FFFFFF"/>
        </w:rPr>
        <w:t>Microbiology</w:t>
      </w:r>
      <w:r>
        <w:rPr>
          <w:rFonts w:cs="Arial"/>
          <w:i/>
          <w:iCs/>
          <w:szCs w:val="22"/>
          <w:shd w:val="clear" w:color="auto" w:fill="FFFFFF"/>
        </w:rPr>
        <w:t>,</w:t>
      </w:r>
      <w:r w:rsidRPr="6BAAFDA6">
        <w:rPr>
          <w:rFonts w:cs="Arial"/>
          <w:szCs w:val="22"/>
          <w:shd w:val="clear" w:color="auto" w:fill="FFFFFF"/>
        </w:rPr>
        <w:t xml:space="preserve"> 158: 58-68.</w:t>
      </w:r>
    </w:p>
    <w:p w14:paraId="5769FE08" w14:textId="431FEC8C" w:rsidR="00204710" w:rsidRDefault="00204710" w:rsidP="00777483">
      <w:pPr>
        <w:spacing w:before="240"/>
        <w:rPr>
          <w:lang w:eastAsia="en-AU" w:bidi="ar-SA"/>
        </w:rPr>
      </w:pPr>
      <w:r w:rsidRPr="00204710">
        <w:rPr>
          <w:lang w:eastAsia="en-AU" w:bidi="ar-SA"/>
        </w:rPr>
        <w:lastRenderedPageBreak/>
        <w:t xml:space="preserve">Poulsen LK (2004) Allergy assessment of foods or ingredients derived from biotechnology, gene-modified organisms, or novel foods. Mol </w:t>
      </w:r>
      <w:proofErr w:type="spellStart"/>
      <w:r w:rsidRPr="00204710">
        <w:rPr>
          <w:lang w:eastAsia="en-AU" w:bidi="ar-SA"/>
        </w:rPr>
        <w:t>Nutr</w:t>
      </w:r>
      <w:proofErr w:type="spellEnd"/>
      <w:r w:rsidRPr="00204710">
        <w:rPr>
          <w:lang w:eastAsia="en-AU" w:bidi="ar-SA"/>
        </w:rPr>
        <w:t xml:space="preserve"> Food Res. 48(6):413-23</w:t>
      </w:r>
    </w:p>
    <w:p w14:paraId="216C482F" w14:textId="2D112BAD" w:rsidR="007F6672" w:rsidRDefault="007F6672" w:rsidP="00777483">
      <w:pPr>
        <w:spacing w:before="240"/>
        <w:rPr>
          <w:lang w:eastAsia="en-AU" w:bidi="ar-SA"/>
        </w:rPr>
      </w:pPr>
      <w:proofErr w:type="spellStart"/>
      <w:r>
        <w:rPr>
          <w:lang w:eastAsia="en-AU" w:bidi="ar-SA"/>
        </w:rPr>
        <w:t>Saha</w:t>
      </w:r>
      <w:proofErr w:type="spellEnd"/>
      <w:r w:rsidR="0092314A">
        <w:rPr>
          <w:lang w:eastAsia="en-AU" w:bidi="ar-SA"/>
        </w:rPr>
        <w:t xml:space="preserve"> BC (2000)</w:t>
      </w:r>
      <w:r w:rsidR="000E663A">
        <w:rPr>
          <w:lang w:eastAsia="en-AU" w:bidi="ar-SA"/>
        </w:rPr>
        <w:t>.</w:t>
      </w:r>
      <w:r w:rsidR="0092314A">
        <w:rPr>
          <w:lang w:eastAsia="en-AU" w:bidi="ar-SA"/>
        </w:rPr>
        <w:t xml:space="preserve"> Research Review paper: </w:t>
      </w:r>
      <w:r w:rsidR="000E663A">
        <w:rPr>
          <w:rFonts w:cs="Arial"/>
          <w:lang w:eastAsia="en-AU" w:bidi="ar-SA"/>
        </w:rPr>
        <w:t>α</w:t>
      </w:r>
      <w:r w:rsidR="000E663A">
        <w:rPr>
          <w:lang w:eastAsia="en-AU" w:bidi="ar-SA"/>
        </w:rPr>
        <w:t>-L-</w:t>
      </w:r>
      <w:proofErr w:type="spellStart"/>
      <w:r w:rsidR="000E663A">
        <w:rPr>
          <w:lang w:eastAsia="en-AU" w:bidi="ar-SA"/>
        </w:rPr>
        <w:t>Arabinofuranosidases</w:t>
      </w:r>
      <w:proofErr w:type="spellEnd"/>
      <w:r w:rsidR="000E663A">
        <w:rPr>
          <w:lang w:eastAsia="en-AU" w:bidi="ar-SA"/>
        </w:rPr>
        <w:t>: biochemistry, molecular biology and application in biotechnology. Biotechnology Advances 18(5), 402-423</w:t>
      </w:r>
    </w:p>
    <w:p w14:paraId="3F4E784E" w14:textId="7606CFEC" w:rsidR="00993F46" w:rsidRDefault="00993F46" w:rsidP="00777483">
      <w:pPr>
        <w:spacing w:before="240"/>
        <w:rPr>
          <w:lang w:eastAsia="en-AU" w:bidi="ar-SA"/>
        </w:rPr>
      </w:pPr>
      <w:proofErr w:type="spellStart"/>
      <w:r>
        <w:rPr>
          <w:lang w:eastAsia="en-AU" w:bidi="ar-SA"/>
        </w:rPr>
        <w:t>Seidl</w:t>
      </w:r>
      <w:proofErr w:type="spellEnd"/>
      <w:r>
        <w:rPr>
          <w:lang w:eastAsia="en-AU" w:bidi="ar-SA"/>
        </w:rPr>
        <w:t xml:space="preserve"> V, </w:t>
      </w:r>
      <w:proofErr w:type="spellStart"/>
      <w:r>
        <w:rPr>
          <w:lang w:eastAsia="en-AU" w:bidi="ar-SA"/>
        </w:rPr>
        <w:t>Gamauf</w:t>
      </w:r>
      <w:proofErr w:type="spellEnd"/>
      <w:r>
        <w:rPr>
          <w:lang w:eastAsia="en-AU" w:bidi="ar-SA"/>
        </w:rPr>
        <w:t xml:space="preserve"> C, </w:t>
      </w:r>
      <w:proofErr w:type="spellStart"/>
      <w:r>
        <w:rPr>
          <w:lang w:eastAsia="en-AU" w:bidi="ar-SA"/>
        </w:rPr>
        <w:t>Druzhinina</w:t>
      </w:r>
      <w:proofErr w:type="spellEnd"/>
      <w:r>
        <w:rPr>
          <w:lang w:eastAsia="en-AU" w:bidi="ar-SA"/>
        </w:rPr>
        <w:t xml:space="preserve"> IS, </w:t>
      </w:r>
      <w:proofErr w:type="spellStart"/>
      <w:r>
        <w:rPr>
          <w:lang w:eastAsia="en-AU" w:bidi="ar-SA"/>
        </w:rPr>
        <w:t>Selboth</w:t>
      </w:r>
      <w:proofErr w:type="spellEnd"/>
      <w:r>
        <w:rPr>
          <w:lang w:eastAsia="en-AU" w:bidi="ar-SA"/>
        </w:rPr>
        <w:t xml:space="preserve"> B, </w:t>
      </w:r>
      <w:proofErr w:type="spellStart"/>
      <w:r>
        <w:rPr>
          <w:lang w:eastAsia="en-AU" w:bidi="ar-SA"/>
        </w:rPr>
        <w:t>Hartl</w:t>
      </w:r>
      <w:proofErr w:type="spellEnd"/>
      <w:r>
        <w:rPr>
          <w:lang w:eastAsia="en-AU" w:bidi="ar-SA"/>
        </w:rPr>
        <w:t xml:space="preserve"> L, </w:t>
      </w:r>
      <w:proofErr w:type="spellStart"/>
      <w:r>
        <w:rPr>
          <w:lang w:eastAsia="en-AU" w:bidi="ar-SA"/>
        </w:rPr>
        <w:t>Kubicek</w:t>
      </w:r>
      <w:proofErr w:type="spellEnd"/>
      <w:r>
        <w:rPr>
          <w:lang w:eastAsia="en-AU" w:bidi="ar-SA"/>
        </w:rPr>
        <w:t xml:space="preserve"> CP (2008) ‘The </w:t>
      </w:r>
      <w:proofErr w:type="spellStart"/>
      <w:r>
        <w:rPr>
          <w:lang w:eastAsia="en-AU" w:bidi="ar-SA"/>
        </w:rPr>
        <w:t>Hyocrea</w:t>
      </w:r>
      <w:proofErr w:type="spellEnd"/>
      <w:r>
        <w:rPr>
          <w:lang w:eastAsia="en-AU" w:bidi="ar-SA"/>
        </w:rPr>
        <w:t xml:space="preserve"> </w:t>
      </w:r>
      <w:proofErr w:type="spellStart"/>
      <w:r>
        <w:rPr>
          <w:lang w:eastAsia="en-AU" w:bidi="ar-SA"/>
        </w:rPr>
        <w:t>jecorina</w:t>
      </w:r>
      <w:proofErr w:type="spellEnd"/>
      <w:r>
        <w:rPr>
          <w:lang w:eastAsia="en-AU" w:bidi="ar-SA"/>
        </w:rPr>
        <w:t xml:space="preserve"> (Trichoderma </w:t>
      </w:r>
      <w:proofErr w:type="spellStart"/>
      <w:r>
        <w:rPr>
          <w:lang w:eastAsia="en-AU" w:bidi="ar-SA"/>
        </w:rPr>
        <w:t>reesei</w:t>
      </w:r>
      <w:proofErr w:type="spellEnd"/>
      <w:r>
        <w:rPr>
          <w:lang w:eastAsia="en-AU" w:bidi="ar-SA"/>
        </w:rPr>
        <w:t xml:space="preserve">) </w:t>
      </w:r>
      <w:proofErr w:type="spellStart"/>
      <w:r>
        <w:rPr>
          <w:lang w:eastAsia="en-AU" w:bidi="ar-SA"/>
        </w:rPr>
        <w:t>hypercellulolytic</w:t>
      </w:r>
      <w:proofErr w:type="spellEnd"/>
      <w:r>
        <w:rPr>
          <w:lang w:eastAsia="en-AU" w:bidi="ar-SA"/>
        </w:rPr>
        <w:t xml:space="preserve"> mutant RUT C30 lacks a 85 kb (29 gene-encoding) region of the wild-type genome’, </w:t>
      </w:r>
      <w:r w:rsidRPr="008D3B5A">
        <w:rPr>
          <w:i/>
          <w:iCs/>
          <w:lang w:eastAsia="en-AU" w:bidi="ar-SA"/>
        </w:rPr>
        <w:t>BMC Genomics</w:t>
      </w:r>
      <w:r>
        <w:rPr>
          <w:lang w:eastAsia="en-AU" w:bidi="ar-SA"/>
        </w:rPr>
        <w:t xml:space="preserve"> 9:327-342.</w:t>
      </w:r>
    </w:p>
    <w:p w14:paraId="171D309F" w14:textId="06C55309" w:rsidR="00D57164" w:rsidRDefault="00D57164" w:rsidP="00777483">
      <w:pPr>
        <w:spacing w:before="240"/>
        <w:rPr>
          <w:lang w:eastAsia="en-AU" w:bidi="ar-SA"/>
        </w:rPr>
      </w:pPr>
      <w:proofErr w:type="spellStart"/>
      <w:r w:rsidRPr="00D57164">
        <w:rPr>
          <w:lang w:eastAsia="en-AU" w:bidi="ar-SA"/>
        </w:rPr>
        <w:t>Vanhanen</w:t>
      </w:r>
      <w:proofErr w:type="spellEnd"/>
      <w:r w:rsidRPr="00D57164">
        <w:rPr>
          <w:lang w:eastAsia="en-AU" w:bidi="ar-SA"/>
        </w:rPr>
        <w:t xml:space="preserve"> M, </w:t>
      </w:r>
      <w:proofErr w:type="spellStart"/>
      <w:r w:rsidRPr="00D57164">
        <w:rPr>
          <w:lang w:eastAsia="en-AU" w:bidi="ar-SA"/>
        </w:rPr>
        <w:t>Tuomi</w:t>
      </w:r>
      <w:proofErr w:type="spellEnd"/>
      <w:r w:rsidRPr="00D57164">
        <w:rPr>
          <w:lang w:eastAsia="en-AU" w:bidi="ar-SA"/>
        </w:rPr>
        <w:t xml:space="preserve"> T, </w:t>
      </w:r>
      <w:proofErr w:type="spellStart"/>
      <w:r w:rsidRPr="00D57164">
        <w:rPr>
          <w:lang w:eastAsia="en-AU" w:bidi="ar-SA"/>
        </w:rPr>
        <w:t>Tiikkainen</w:t>
      </w:r>
      <w:proofErr w:type="spellEnd"/>
      <w:r w:rsidRPr="00D57164">
        <w:rPr>
          <w:lang w:eastAsia="en-AU" w:bidi="ar-SA"/>
        </w:rPr>
        <w:t xml:space="preserve"> U, </w:t>
      </w:r>
      <w:proofErr w:type="spellStart"/>
      <w:r w:rsidRPr="00D57164">
        <w:rPr>
          <w:lang w:eastAsia="en-AU" w:bidi="ar-SA"/>
        </w:rPr>
        <w:t>Tupasela</w:t>
      </w:r>
      <w:proofErr w:type="spellEnd"/>
      <w:r w:rsidRPr="00D57164">
        <w:rPr>
          <w:lang w:eastAsia="en-AU" w:bidi="ar-SA"/>
        </w:rPr>
        <w:t xml:space="preserve"> O, </w:t>
      </w:r>
      <w:proofErr w:type="spellStart"/>
      <w:r w:rsidRPr="00D57164">
        <w:rPr>
          <w:lang w:eastAsia="en-AU" w:bidi="ar-SA"/>
        </w:rPr>
        <w:t>Tuomainen</w:t>
      </w:r>
      <w:proofErr w:type="spellEnd"/>
      <w:r w:rsidRPr="00D57164">
        <w:rPr>
          <w:lang w:eastAsia="en-AU" w:bidi="ar-SA"/>
        </w:rPr>
        <w:t xml:space="preserve"> A, </w:t>
      </w:r>
      <w:proofErr w:type="spellStart"/>
      <w:r w:rsidRPr="00D57164">
        <w:rPr>
          <w:lang w:eastAsia="en-AU" w:bidi="ar-SA"/>
        </w:rPr>
        <w:t>Luukkonen</w:t>
      </w:r>
      <w:proofErr w:type="spellEnd"/>
      <w:r w:rsidRPr="00D57164">
        <w:rPr>
          <w:lang w:eastAsia="en-AU" w:bidi="ar-SA"/>
        </w:rPr>
        <w:t xml:space="preserve"> R, </w:t>
      </w:r>
      <w:proofErr w:type="spellStart"/>
      <w:r w:rsidRPr="00D57164">
        <w:rPr>
          <w:lang w:eastAsia="en-AU" w:bidi="ar-SA"/>
        </w:rPr>
        <w:t>Nordman</w:t>
      </w:r>
      <w:proofErr w:type="spellEnd"/>
      <w:r w:rsidRPr="00D57164">
        <w:rPr>
          <w:lang w:eastAsia="en-AU" w:bidi="ar-SA"/>
        </w:rPr>
        <w:t xml:space="preserve"> H </w:t>
      </w:r>
      <w:r>
        <w:rPr>
          <w:lang w:eastAsia="en-AU" w:bidi="ar-SA"/>
        </w:rPr>
        <w:t xml:space="preserve">(2001) </w:t>
      </w:r>
      <w:r w:rsidRPr="00D57164">
        <w:rPr>
          <w:lang w:eastAsia="en-AU" w:bidi="ar-SA"/>
        </w:rPr>
        <w:t xml:space="preserve">Sensitisation to enzymes in the animal feed industry. </w:t>
      </w:r>
      <w:proofErr w:type="spellStart"/>
      <w:r w:rsidRPr="00D57164">
        <w:rPr>
          <w:lang w:eastAsia="en-AU" w:bidi="ar-SA"/>
        </w:rPr>
        <w:t>Occup</w:t>
      </w:r>
      <w:proofErr w:type="spellEnd"/>
      <w:r w:rsidRPr="00D57164">
        <w:rPr>
          <w:lang w:eastAsia="en-AU" w:bidi="ar-SA"/>
        </w:rPr>
        <w:t xml:space="preserve"> Environ Med. 58(2):119-23.</w:t>
      </w:r>
    </w:p>
    <w:p w14:paraId="45A7DCD1" w14:textId="3901D712" w:rsidR="00070815" w:rsidRPr="00282AA3" w:rsidRDefault="00B530C5" w:rsidP="00777483">
      <w:pPr>
        <w:spacing w:before="240"/>
        <w:rPr>
          <w:lang w:eastAsia="en-AU" w:bidi="ar-SA"/>
        </w:rPr>
      </w:pPr>
      <w:r>
        <w:rPr>
          <w:lang w:eastAsia="en-AU" w:bidi="ar-SA"/>
        </w:rPr>
        <w:t xml:space="preserve">Yeoman CJ, Han Y, Dodd D, Schroder CM, Mackie RI and </w:t>
      </w:r>
      <w:proofErr w:type="spellStart"/>
      <w:r>
        <w:rPr>
          <w:lang w:eastAsia="en-AU" w:bidi="ar-SA"/>
        </w:rPr>
        <w:t>Cann</w:t>
      </w:r>
      <w:proofErr w:type="spellEnd"/>
      <w:r>
        <w:rPr>
          <w:lang w:eastAsia="en-AU" w:bidi="ar-SA"/>
        </w:rPr>
        <w:t xml:space="preserve"> IKO (2010) Chapter 1 Thermostable Enzymes as Biocatalysts in the Biofuel Industry. </w:t>
      </w:r>
      <w:r w:rsidR="00D15FAC">
        <w:rPr>
          <w:lang w:eastAsia="en-AU" w:bidi="ar-SA"/>
        </w:rPr>
        <w:t xml:space="preserve">In: </w:t>
      </w:r>
      <w:r>
        <w:rPr>
          <w:lang w:eastAsia="en-AU" w:bidi="ar-SA"/>
        </w:rPr>
        <w:t>Advances in Microbiology, Volume 20, p. 19.</w:t>
      </w:r>
    </w:p>
    <w:sectPr w:rsidR="00070815" w:rsidRPr="00282AA3"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038A" w14:textId="77777777" w:rsidR="002455DE" w:rsidRDefault="002455DE">
      <w:r>
        <w:separator/>
      </w:r>
    </w:p>
  </w:endnote>
  <w:endnote w:type="continuationSeparator" w:id="0">
    <w:p w14:paraId="27611A59" w14:textId="77777777" w:rsidR="002455DE" w:rsidRDefault="002455DE">
      <w:r>
        <w:continuationSeparator/>
      </w:r>
    </w:p>
  </w:endnote>
  <w:endnote w:type="continuationNotice" w:id="1">
    <w:p w14:paraId="57ECC63E" w14:textId="77777777" w:rsidR="002455DE" w:rsidRDefault="00245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1644" w14:textId="77777777" w:rsidR="002528EE" w:rsidRPr="002528EE" w:rsidRDefault="002528EE" w:rsidP="002528EE">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3A7105F2" w14:textId="4D5EE2A1" w:rsidR="0006473A" w:rsidRDefault="002528EE" w:rsidP="002528EE">
    <w:pPr>
      <w:pStyle w:val="Footer"/>
      <w:framePr w:wrap="around" w:vAnchor="text" w:hAnchor="margin" w:xAlign="center" w:y="1"/>
      <w:jc w:val="center"/>
      <w:rPr>
        <w:rStyle w:val="PageNumber"/>
      </w:rPr>
    </w:pPr>
    <w:r w:rsidRPr="002528EE">
      <w:rPr>
        <w:rStyle w:val="PageNumber"/>
        <w:rFonts w:ascii="Calibri" w:hAnsi="Calibri" w:cs="Calibri"/>
        <w:b/>
        <w:color w:val="F00000"/>
        <w:sz w:val="24"/>
      </w:rPr>
      <w:t>OFFICIAL</w:t>
    </w:r>
    <w:r>
      <w:rPr>
        <w:rStyle w:val="PageNumber"/>
      </w:rPr>
      <w:t xml:space="preserve"> </w:t>
    </w:r>
    <w:r>
      <w:rPr>
        <w:rStyle w:val="PageNumber"/>
      </w:rPr>
      <w:fldChar w:fldCharType="end"/>
    </w:r>
    <w:r w:rsidR="0006473A">
      <w:rPr>
        <w:rStyle w:val="PageNumber"/>
      </w:rPr>
      <w:fldChar w:fldCharType="begin"/>
    </w:r>
    <w:r w:rsidR="0006473A">
      <w:rPr>
        <w:rStyle w:val="PageNumber"/>
      </w:rPr>
      <w:instrText xml:space="preserve">PAGE  </w:instrText>
    </w:r>
    <w:r w:rsidR="0006473A">
      <w:rPr>
        <w:rStyle w:val="PageNumber"/>
      </w:rPr>
      <w:fldChar w:fldCharType="end"/>
    </w:r>
  </w:p>
  <w:p w14:paraId="1CFDDC06" w14:textId="77777777" w:rsidR="0006473A" w:rsidRDefault="0006473A" w:rsidP="00252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8F04" w14:textId="257A1D29"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1BD0">
      <w:rPr>
        <w:rStyle w:val="PageNumber"/>
        <w:noProof/>
      </w:rPr>
      <w:t>i</w:t>
    </w:r>
    <w:r>
      <w:rPr>
        <w:rStyle w:val="PageNumber"/>
      </w:rPr>
      <w:fldChar w:fldCharType="end"/>
    </w:r>
  </w:p>
  <w:p w14:paraId="44186312" w14:textId="77777777" w:rsidR="0006473A" w:rsidRDefault="0006473A" w:rsidP="002528E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1B95" w14:textId="77777777" w:rsidR="002528EE" w:rsidRPr="002528EE" w:rsidRDefault="002528EE" w:rsidP="002528EE">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135925D2" w14:textId="527FC73E" w:rsidR="00FA01B2" w:rsidRPr="002528EE" w:rsidRDefault="002528EE" w:rsidP="002528EE">
    <w:pPr>
      <w:pStyle w:val="Footer"/>
      <w:jc w:val="center"/>
    </w:pPr>
    <w:r w:rsidRPr="002528EE">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9625" w14:textId="77777777" w:rsidR="002455DE" w:rsidRDefault="002455DE">
      <w:r>
        <w:separator/>
      </w:r>
    </w:p>
  </w:footnote>
  <w:footnote w:type="continuationSeparator" w:id="0">
    <w:p w14:paraId="5A0F2077" w14:textId="77777777" w:rsidR="002455DE" w:rsidRDefault="002455DE">
      <w:r>
        <w:continuationSeparator/>
      </w:r>
    </w:p>
  </w:footnote>
  <w:footnote w:type="continuationNotice" w:id="1">
    <w:p w14:paraId="454484FA" w14:textId="77777777" w:rsidR="002455DE" w:rsidRDefault="002455DE"/>
  </w:footnote>
  <w:footnote w:id="2">
    <w:p w14:paraId="7085FD84" w14:textId="77777777" w:rsidR="000B698E" w:rsidRPr="00994F4B" w:rsidRDefault="000B698E" w:rsidP="000B698E">
      <w:pPr>
        <w:pStyle w:val="FootnoteText"/>
        <w:rPr>
          <w:lang w:val="en-AU"/>
        </w:rPr>
      </w:pPr>
      <w:r>
        <w:rPr>
          <w:rStyle w:val="FootnoteReference"/>
        </w:rPr>
        <w:footnoteRef/>
      </w:r>
      <w:r>
        <w:t xml:space="preserve"> </w:t>
      </w:r>
      <w:r w:rsidRPr="008B2780">
        <w:t>International Union of Biochemistry and Molecular Biology</w:t>
      </w:r>
    </w:p>
  </w:footnote>
  <w:footnote w:id="3">
    <w:p w14:paraId="143325E6" w14:textId="7C804CA4" w:rsidR="0035428E" w:rsidRPr="00994F4B" w:rsidRDefault="0035428E" w:rsidP="0035428E">
      <w:pPr>
        <w:pStyle w:val="FootnoteText"/>
        <w:rPr>
          <w:lang w:val="en-AU"/>
        </w:rPr>
      </w:pPr>
      <w:r>
        <w:rPr>
          <w:rStyle w:val="FootnoteReference"/>
        </w:rPr>
        <w:footnoteRef/>
      </w:r>
      <w:r>
        <w:t xml:space="preserve"> </w:t>
      </w:r>
      <w:hyperlink r:id="rId1" w:history="1">
        <w:r>
          <w:rPr>
            <w:rStyle w:val="Hyperlink"/>
          </w:rPr>
          <w:t>https://www.brenda-enzymes.org/enzyme.php?ecno=3.2.1.8</w:t>
        </w:r>
      </w:hyperlink>
    </w:p>
  </w:footnote>
  <w:footnote w:id="4">
    <w:p w14:paraId="48EB1944" w14:textId="77777777" w:rsidR="00F162D4" w:rsidRPr="003A5307" w:rsidRDefault="00F162D4" w:rsidP="00F162D4">
      <w:pPr>
        <w:pStyle w:val="FootnoteText"/>
        <w:rPr>
          <w:lang w:val="en-AU"/>
        </w:rPr>
      </w:pPr>
      <w:r>
        <w:rPr>
          <w:rStyle w:val="FootnoteReference"/>
        </w:rPr>
        <w:footnoteRef/>
      </w:r>
      <w:r>
        <w:t xml:space="preserve"> </w:t>
      </w:r>
      <w:r>
        <w:rPr>
          <w:lang w:eastAsia="en-AU" w:bidi="ar-SA"/>
        </w:rPr>
        <w:t>Enzymes are generally sold as enzyme preparations, which consist of the enzyme(s) and other ingredients, to facilitate their storage, sale, standardisation, dilution or dissolution.</w:t>
      </w:r>
    </w:p>
  </w:footnote>
  <w:footnote w:id="5">
    <w:p w14:paraId="3A17D2A2" w14:textId="77777777" w:rsidR="00562970" w:rsidRPr="00D01AAF" w:rsidRDefault="00562970" w:rsidP="00562970">
      <w:pPr>
        <w:pStyle w:val="FootnoteText"/>
        <w:rPr>
          <w:lang w:val="en-AU"/>
        </w:rPr>
      </w:pPr>
      <w:r>
        <w:rPr>
          <w:rStyle w:val="FootnoteReference"/>
        </w:rPr>
        <w:footnoteRef/>
      </w:r>
      <w:r>
        <w:t xml:space="preserve"> </w:t>
      </w:r>
      <w:hyperlink r:id="rId2" w:history="1">
        <w:r w:rsidRPr="00B875FA">
          <w:rPr>
            <w:rStyle w:val="Hyperlink"/>
          </w:rPr>
          <w:t>https://www.cdc.gov/biosafety/publications/bmbl5/index.htm</w:t>
        </w:r>
      </w:hyperlink>
      <w:r>
        <w:t xml:space="preserve"> </w:t>
      </w:r>
    </w:p>
  </w:footnote>
  <w:footnote w:id="6">
    <w:p w14:paraId="3EF86AB1" w14:textId="77777777" w:rsidR="00562970" w:rsidRPr="00D01AAF" w:rsidRDefault="00562970" w:rsidP="00562970">
      <w:pPr>
        <w:pStyle w:val="FootnoteText"/>
        <w:rPr>
          <w:lang w:val="en-AU"/>
        </w:rPr>
      </w:pPr>
      <w:r>
        <w:rPr>
          <w:rStyle w:val="FootnoteReference"/>
        </w:rPr>
        <w:footnoteRef/>
      </w:r>
      <w:r>
        <w:t xml:space="preserve"> </w:t>
      </w:r>
      <w:hyperlink r:id="rId3" w:history="1">
        <w:r w:rsidRPr="00B875FA">
          <w:rPr>
            <w:rStyle w:val="Hyperlink"/>
          </w:rPr>
          <w:t>https://www.fao.org/food/food-safety-quality/scientific-advice/jecfa/jecfa-additives/enzymes/en/</w:t>
        </w:r>
      </w:hyperlink>
      <w:r>
        <w:t xml:space="preserve"> </w:t>
      </w:r>
    </w:p>
  </w:footnote>
  <w:footnote w:id="7">
    <w:p w14:paraId="2BF41EF0" w14:textId="77777777" w:rsidR="00900D4B" w:rsidRDefault="00994831" w:rsidP="00994831">
      <w:pPr>
        <w:pStyle w:val="FootnoteText"/>
        <w:rPr>
          <w:lang w:val="en-AU"/>
        </w:rPr>
      </w:pPr>
      <w:r>
        <w:rPr>
          <w:rStyle w:val="FootnoteReference"/>
        </w:rPr>
        <w:footnoteRef/>
      </w:r>
    </w:p>
    <w:p w14:paraId="4F53A844" w14:textId="77777777" w:rsidR="00994831" w:rsidRPr="00862C82" w:rsidRDefault="00994831" w:rsidP="00994831">
      <w:pPr>
        <w:pStyle w:val="FootnoteText"/>
        <w:rPr>
          <w:lang w:val="en-AU"/>
        </w:rPr>
      </w:pPr>
      <w:r>
        <w:t xml:space="preserve"> </w:t>
      </w:r>
      <w:proofErr w:type="spellStart"/>
      <w:r>
        <w:rPr>
          <w:lang w:val="en-AU"/>
        </w:rPr>
        <w:t>Clustal</w:t>
      </w:r>
      <w:proofErr w:type="spellEnd"/>
      <w:r>
        <w:rPr>
          <w:lang w:val="en-AU"/>
        </w:rPr>
        <w:t xml:space="preserve"> W2 available from: </w:t>
      </w:r>
      <w:hyperlink r:id="rId4" w:history="1">
        <w:r w:rsidRPr="00243D32">
          <w:rPr>
            <w:rStyle w:val="Hyperlink"/>
            <w:lang w:val="en-AU"/>
          </w:rPr>
          <w:t>http://www.clustal.org/clustal2</w:t>
        </w:r>
      </w:hyperlink>
    </w:p>
  </w:footnote>
  <w:footnote w:id="8">
    <w:p w14:paraId="576B12B1" w14:textId="77777777" w:rsidR="004E7F2E" w:rsidRPr="008933A1" w:rsidRDefault="004E7F2E" w:rsidP="004E7F2E">
      <w:pPr>
        <w:rPr>
          <w:sz w:val="20"/>
          <w:szCs w:val="22"/>
        </w:rPr>
      </w:pPr>
      <w:r w:rsidRPr="008933A1">
        <w:rPr>
          <w:rStyle w:val="FootnoteReference"/>
          <w:sz w:val="20"/>
        </w:rPr>
        <w:footnoteRef/>
      </w:r>
      <w:r w:rsidRPr="008933A1">
        <w:rPr>
          <w:sz w:val="20"/>
        </w:rPr>
        <w:t xml:space="preserve"> </w:t>
      </w:r>
      <w:proofErr w:type="spellStart"/>
      <w:r w:rsidRPr="008933A1">
        <w:rPr>
          <w:sz w:val="20"/>
        </w:rPr>
        <w:t>UniProt</w:t>
      </w:r>
      <w:proofErr w:type="spellEnd"/>
      <w:r w:rsidRPr="008933A1">
        <w:rPr>
          <w:sz w:val="20"/>
        </w:rPr>
        <w:t xml:space="preserve"> database: </w:t>
      </w:r>
      <w:hyperlink r:id="rId5" w:history="1">
        <w:r w:rsidRPr="00653F4B">
          <w:rPr>
            <w:rStyle w:val="Hyperlink"/>
            <w:sz w:val="20"/>
          </w:rPr>
          <w:t>https://www.uniprot.org</w:t>
        </w:r>
      </w:hyperlink>
    </w:p>
  </w:footnote>
  <w:footnote w:id="9">
    <w:p w14:paraId="4B9C48CF" w14:textId="77777777" w:rsidR="00095FCC" w:rsidRPr="00CD4F23" w:rsidRDefault="00095FCC" w:rsidP="00095FCC">
      <w:pPr>
        <w:pStyle w:val="FootnoteText"/>
        <w:rPr>
          <w:sz w:val="18"/>
          <w:szCs w:val="18"/>
          <w:lang w:val="en-AU"/>
        </w:rPr>
      </w:pPr>
      <w:r w:rsidRPr="00CD4F23">
        <w:rPr>
          <w:rStyle w:val="FootnoteReference"/>
          <w:sz w:val="18"/>
          <w:szCs w:val="18"/>
        </w:rPr>
        <w:footnoteRef/>
      </w:r>
      <w:r w:rsidRPr="00CD4F23">
        <w:rPr>
          <w:sz w:val="18"/>
          <w:szCs w:val="18"/>
        </w:rPr>
        <w:t xml:space="preserve"> </w:t>
      </w:r>
      <w:proofErr w:type="spellStart"/>
      <w:r w:rsidRPr="00CD4F23">
        <w:rPr>
          <w:sz w:val="18"/>
          <w:szCs w:val="18"/>
        </w:rPr>
        <w:t>AllergenOnline</w:t>
      </w:r>
      <w:proofErr w:type="spellEnd"/>
      <w:r w:rsidRPr="00CD4F23">
        <w:rPr>
          <w:sz w:val="18"/>
          <w:szCs w:val="18"/>
        </w:rPr>
        <w:t xml:space="preserve">: </w:t>
      </w:r>
      <w:hyperlink r:id="rId6" w:history="1">
        <w:r w:rsidRPr="00CD4F23">
          <w:rPr>
            <w:rStyle w:val="Hyperlink"/>
            <w:sz w:val="18"/>
            <w:szCs w:val="18"/>
          </w:rPr>
          <w:t>http://www.allergenonline.org/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DEB9" w14:textId="77777777" w:rsidR="002528EE" w:rsidRPr="002528EE" w:rsidRDefault="002528EE" w:rsidP="002528EE">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2528EE">
      <w:rPr>
        <w:rFonts w:ascii="Calibri" w:hAnsi="Calibri" w:cs="Calibri"/>
        <w:b/>
        <w:color w:val="F00000"/>
        <w:sz w:val="24"/>
      </w:rPr>
      <w:t>OFFICIAL</w:t>
    </w:r>
  </w:p>
  <w:p w14:paraId="5CCB6BD8" w14:textId="4567415D" w:rsidR="00FA01B2" w:rsidRPr="002528EE" w:rsidRDefault="002528EE" w:rsidP="002528EE">
    <w:pPr>
      <w:pStyle w:val="Header"/>
      <w:jc w:val="center"/>
    </w:pPr>
    <w:r w:rsidRPr="002528EE">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8FC4" w14:textId="0B59A2E9" w:rsidR="0006473A" w:rsidRPr="002528EE" w:rsidRDefault="0006473A" w:rsidP="002528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98BC" w14:textId="77777777" w:rsidR="002528EE" w:rsidRPr="002528EE" w:rsidRDefault="002528EE" w:rsidP="002528EE">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2528EE">
      <w:rPr>
        <w:rFonts w:ascii="Calibri" w:hAnsi="Calibri" w:cs="Calibri"/>
        <w:b/>
        <w:bCs/>
        <w:color w:val="F00000"/>
        <w:sz w:val="24"/>
      </w:rPr>
      <w:t>OFFICIAL</w:t>
    </w:r>
  </w:p>
  <w:p w14:paraId="00F1D406" w14:textId="674826C2" w:rsidR="002528EE" w:rsidRDefault="002528EE" w:rsidP="002528EE">
    <w:pPr>
      <w:pStyle w:val="Header"/>
      <w:jc w:val="center"/>
      <w:rPr>
        <w:b/>
        <w:bCs/>
      </w:rPr>
    </w:pPr>
    <w:r w:rsidRPr="002528EE">
      <w:rPr>
        <w:rFonts w:ascii="Calibri" w:hAnsi="Calibri" w:cs="Calibri"/>
        <w:b/>
        <w:bCs/>
        <w:color w:val="F00000"/>
        <w:sz w:val="24"/>
      </w:rPr>
      <w:t xml:space="preserve"> </w:t>
    </w:r>
    <w:r>
      <w:rPr>
        <w:b/>
        <w:bCs/>
      </w:rPr>
      <w:fldChar w:fldCharType="end"/>
    </w:r>
  </w:p>
  <w:p w14:paraId="634991CD" w14:textId="7F29C830" w:rsidR="0006473A" w:rsidRDefault="0006473A">
    <w:pPr>
      <w:pStyle w:val="Header"/>
      <w:jc w:val="center"/>
      <w:rPr>
        <w:b/>
        <w:bCs/>
      </w:rPr>
    </w:pPr>
    <w:r>
      <w:rPr>
        <w:b/>
        <w:bCs/>
      </w:rPr>
      <w:t>BOARD-IN-CONFIDENCE</w:t>
    </w:r>
  </w:p>
</w:hdr>
</file>

<file path=word/intelligence2.xml><?xml version="1.0" encoding="utf-8"?>
<int2:intelligence xmlns:int2="http://schemas.microsoft.com/office/intelligence/2020/intelligence" xmlns:oel="http://schemas.microsoft.com/office/2019/extlst">
  <int2:observations>
    <int2:textHash int2:hashCode="55fQNjeVzCwJMQ" int2:id="0JQnhAaq">
      <int2:state int2:value="Rejected" int2:type="LegacyProofing"/>
    </int2:textHash>
    <int2:textHash int2:hashCode="up4Wj/Og1yE1mc" int2:id="4CB1DETn">
      <int2:state int2:value="Rejected" int2:type="LegacyProofing"/>
    </int2:textHash>
    <int2:textHash int2:hashCode="wrLPVTtNAzwTNl" int2:id="7KbTqwxG">
      <int2:state int2:value="Rejected" int2:type="LegacyProofing"/>
    </int2:textHash>
    <int2:textHash int2:hashCode="laiLtT8E/WZVvc" int2:id="8tw4mHoY">
      <int2:state int2:value="Rejected" int2:type="LegacyProofing"/>
    </int2:textHash>
    <int2:textHash int2:hashCode="vuvyk+zf8+Mn2s" int2:id="IUER7p5G">
      <int2:state int2:value="Rejected" int2:type="LegacyProofing"/>
    </int2:textHash>
    <int2:textHash int2:hashCode="C4du83pIROJDSN" int2:id="M0XZTZYk">
      <int2:state int2:value="Rejected" int2:type="LegacyProofing"/>
    </int2:textHash>
    <int2:textHash int2:hashCode="xgZgUhgX9feo76" int2:id="Os6rnn8j">
      <int2:state int2:value="Rejected" int2:type="LegacyProofing"/>
    </int2:textHash>
    <int2:textHash int2:hashCode="5J+9c7kxVBh8Xn" int2:id="a5wqvjtG">
      <int2:state int2:value="Rejected" int2:type="LegacyProofing"/>
    </int2:textHash>
    <int2:textHash int2:hashCode="0JecucE0i6so3w" int2:id="boXljI9e">
      <int2:state int2:value="Rejected" int2:type="LegacyProofing"/>
    </int2:textHash>
    <int2:textHash int2:hashCode="LeEa4+zSTiJ5DL" int2:id="jWO13Jwc">
      <int2:state int2:value="Rejected" int2:type="LegacyProofing"/>
    </int2:textHash>
    <int2:textHash int2:hashCode="M/8/Gej0CeIb+g" int2:id="jfjl3ebU">
      <int2:state int2:value="Rejected" int2:type="LegacyProofing"/>
    </int2:textHash>
    <int2:textHash int2:hashCode="5jiVeBwfNi/rWZ" int2:id="kFRHMfnv">
      <int2:state int2:value="Rejected" int2:type="LegacyProofing"/>
    </int2:textHash>
    <int2:textHash int2:hashCode="iZzcTqYz3VPOtC" int2:id="n1OcR4iz">
      <int2:state int2:value="Rejected" int2:type="LegacyProofing"/>
    </int2:textHash>
    <int2:textHash int2:hashCode="pwQZfVDbtY22i8" int2:id="nGlWKmQP">
      <int2:state int2:value="Rejected" int2:type="LegacyProofing"/>
    </int2:textHash>
    <int2:textHash int2:hashCode="Y5MPdOFyc+rZAf" int2:id="nKDWi6cT">
      <int2:state int2:value="Rejected" int2:type="LegacyProofing"/>
    </int2:textHash>
    <int2:textHash int2:hashCode="UkYHVimkpdnH3B" int2:id="oW4ymLRB">
      <int2:state int2:value="Rejected" int2:type="LegacyProofing"/>
    </int2:textHash>
    <int2:textHash int2:hashCode="GmwEgNBWikT5Sv" int2:id="q4FMcLoW">
      <int2:state int2:value="Rejected" int2:type="LegacyProofing"/>
    </int2:textHash>
    <int2:textHash int2:hashCode="ioXAbE66irpzOk" int2:id="q6WWhrD1">
      <int2:state int2:value="Rejected" int2:type="LegacyProofing"/>
    </int2:textHash>
    <int2:textHash int2:hashCode="1o6wKkBBmBEenG" int2:id="qRwAY61K">
      <int2:state int2:value="Rejected" int2:type="LegacyProofing"/>
    </int2:textHash>
    <int2:textHash int2:hashCode="TOJWF1vsBm4+LR" int2:id="qgsKJPW7">
      <int2:state int2:value="Rejected" int2:type="LegacyProofing"/>
    </int2:textHash>
    <int2:textHash int2:hashCode="sHadZLRnYVwJrX" int2:id="rsxQrmra">
      <int2:state int2:value="Rejected" int2:type="LegacyProofing"/>
    </int2:textHash>
    <int2:textHash int2:hashCode="zM0BDITwYDZoJg" int2:id="rts1D7Wb">
      <int2:state int2:value="Rejected" int2:type="LegacyProofing"/>
    </int2:textHash>
    <int2:textHash int2:hashCode="SGUg7xWySxW5sx" int2:id="s9AORK9i">
      <int2:state int2:value="Rejected" int2:type="LegacyProofing"/>
    </int2:textHash>
    <int2:textHash int2:hashCode="KX+hZcwzCcwVo3" int2:id="w5jj5FXf">
      <int2:state int2:value="Rejected" int2:type="LegacyProofing"/>
    </int2:textHash>
    <int2:textHash int2:hashCode="cSxWSLY1juba6Z" int2:id="zUVfueM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BD3F7F"/>
    <w:multiLevelType w:val="multilevel"/>
    <w:tmpl w:val="3440DC2E"/>
    <w:lvl w:ilvl="0">
      <w:start w:val="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6CE42921"/>
    <w:multiLevelType w:val="hybridMultilevel"/>
    <w:tmpl w:val="C5C6F17C"/>
    <w:lvl w:ilvl="0" w:tplc="D478A74E">
      <w:start w:val="1"/>
      <w:numFmt w:val="bullet"/>
      <w:lvlText w:val=""/>
      <w:lvlJc w:val="left"/>
      <w:pPr>
        <w:ind w:left="502" w:hanging="360"/>
      </w:pPr>
      <w:rPr>
        <w:rFonts w:ascii="Symbol" w:hAnsi="Symbol" w:hint="default"/>
      </w:rPr>
    </w:lvl>
    <w:lvl w:ilvl="1" w:tplc="E18438AC">
      <w:start w:val="1"/>
      <w:numFmt w:val="bullet"/>
      <w:lvlText w:val="o"/>
      <w:lvlJc w:val="left"/>
      <w:pPr>
        <w:ind w:left="1440" w:hanging="360"/>
      </w:pPr>
      <w:rPr>
        <w:rFonts w:ascii="Courier New" w:hAnsi="Courier New" w:hint="default"/>
      </w:rPr>
    </w:lvl>
    <w:lvl w:ilvl="2" w:tplc="B168787E">
      <w:start w:val="1"/>
      <w:numFmt w:val="bullet"/>
      <w:lvlText w:val=""/>
      <w:lvlJc w:val="left"/>
      <w:pPr>
        <w:ind w:left="2160" w:hanging="360"/>
      </w:pPr>
      <w:rPr>
        <w:rFonts w:ascii="Wingdings" w:hAnsi="Wingdings" w:hint="default"/>
      </w:rPr>
    </w:lvl>
    <w:lvl w:ilvl="3" w:tplc="1C2C25E2">
      <w:start w:val="1"/>
      <w:numFmt w:val="bullet"/>
      <w:lvlText w:val=""/>
      <w:lvlJc w:val="left"/>
      <w:pPr>
        <w:ind w:left="2880" w:hanging="360"/>
      </w:pPr>
      <w:rPr>
        <w:rFonts w:ascii="Symbol" w:hAnsi="Symbol" w:hint="default"/>
      </w:rPr>
    </w:lvl>
    <w:lvl w:ilvl="4" w:tplc="DBEC9E22">
      <w:start w:val="1"/>
      <w:numFmt w:val="bullet"/>
      <w:lvlText w:val="o"/>
      <w:lvlJc w:val="left"/>
      <w:pPr>
        <w:ind w:left="3600" w:hanging="360"/>
      </w:pPr>
      <w:rPr>
        <w:rFonts w:ascii="Courier New" w:hAnsi="Courier New" w:hint="default"/>
      </w:rPr>
    </w:lvl>
    <w:lvl w:ilvl="5" w:tplc="17822756">
      <w:start w:val="1"/>
      <w:numFmt w:val="bullet"/>
      <w:lvlText w:val=""/>
      <w:lvlJc w:val="left"/>
      <w:pPr>
        <w:ind w:left="4320" w:hanging="360"/>
      </w:pPr>
      <w:rPr>
        <w:rFonts w:ascii="Wingdings" w:hAnsi="Wingdings" w:hint="default"/>
      </w:rPr>
    </w:lvl>
    <w:lvl w:ilvl="6" w:tplc="733074FA">
      <w:start w:val="1"/>
      <w:numFmt w:val="bullet"/>
      <w:lvlText w:val=""/>
      <w:lvlJc w:val="left"/>
      <w:pPr>
        <w:ind w:left="5040" w:hanging="360"/>
      </w:pPr>
      <w:rPr>
        <w:rFonts w:ascii="Symbol" w:hAnsi="Symbol" w:hint="default"/>
      </w:rPr>
    </w:lvl>
    <w:lvl w:ilvl="7" w:tplc="2DC67A58">
      <w:start w:val="1"/>
      <w:numFmt w:val="bullet"/>
      <w:lvlText w:val="o"/>
      <w:lvlJc w:val="left"/>
      <w:pPr>
        <w:ind w:left="5760" w:hanging="360"/>
      </w:pPr>
      <w:rPr>
        <w:rFonts w:ascii="Courier New" w:hAnsi="Courier New" w:hint="default"/>
      </w:rPr>
    </w:lvl>
    <w:lvl w:ilvl="8" w:tplc="F064D5DE">
      <w:start w:val="1"/>
      <w:numFmt w:val="bullet"/>
      <w:lvlText w:val=""/>
      <w:lvlJc w:val="left"/>
      <w:pPr>
        <w:ind w:left="6480" w:hanging="360"/>
      </w:pPr>
      <w:rPr>
        <w:rFonts w:ascii="Wingdings" w:hAnsi="Wingdings" w:hint="default"/>
      </w:rPr>
    </w:lvl>
  </w:abstractNum>
  <w:num w:numId="1" w16cid:durableId="997467062">
    <w:abstractNumId w:val="1"/>
  </w:num>
  <w:num w:numId="2" w16cid:durableId="407270067">
    <w:abstractNumId w:val="3"/>
  </w:num>
  <w:num w:numId="3" w16cid:durableId="811603393">
    <w:abstractNumId w:val="0"/>
  </w:num>
  <w:num w:numId="4" w16cid:durableId="729156508">
    <w:abstractNumId w:val="2"/>
  </w:num>
  <w:num w:numId="5" w16cid:durableId="77417746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EE"/>
    <w:rsid w:val="000019DD"/>
    <w:rsid w:val="00001CF2"/>
    <w:rsid w:val="0000247B"/>
    <w:rsid w:val="0000469B"/>
    <w:rsid w:val="00005742"/>
    <w:rsid w:val="00015B71"/>
    <w:rsid w:val="00020DEB"/>
    <w:rsid w:val="00027FC9"/>
    <w:rsid w:val="000300C8"/>
    <w:rsid w:val="00032195"/>
    <w:rsid w:val="000335D7"/>
    <w:rsid w:val="00035FF3"/>
    <w:rsid w:val="00036965"/>
    <w:rsid w:val="00043B43"/>
    <w:rsid w:val="000452F5"/>
    <w:rsid w:val="00045E2E"/>
    <w:rsid w:val="00046B6E"/>
    <w:rsid w:val="00050887"/>
    <w:rsid w:val="00051021"/>
    <w:rsid w:val="00051ED9"/>
    <w:rsid w:val="00052B65"/>
    <w:rsid w:val="00054F83"/>
    <w:rsid w:val="0005555D"/>
    <w:rsid w:val="00056C1D"/>
    <w:rsid w:val="00057181"/>
    <w:rsid w:val="00057394"/>
    <w:rsid w:val="000606BF"/>
    <w:rsid w:val="00060EF2"/>
    <w:rsid w:val="00061518"/>
    <w:rsid w:val="000615A0"/>
    <w:rsid w:val="0006473A"/>
    <w:rsid w:val="00064B2D"/>
    <w:rsid w:val="00065F1F"/>
    <w:rsid w:val="00070815"/>
    <w:rsid w:val="000709FE"/>
    <w:rsid w:val="00075D6A"/>
    <w:rsid w:val="00075FD8"/>
    <w:rsid w:val="00076D33"/>
    <w:rsid w:val="00092CDA"/>
    <w:rsid w:val="00095FCC"/>
    <w:rsid w:val="00096A36"/>
    <w:rsid w:val="000A27E9"/>
    <w:rsid w:val="000A3D8B"/>
    <w:rsid w:val="000A40F2"/>
    <w:rsid w:val="000A4425"/>
    <w:rsid w:val="000A55BE"/>
    <w:rsid w:val="000A5DF8"/>
    <w:rsid w:val="000B21D7"/>
    <w:rsid w:val="000B42E4"/>
    <w:rsid w:val="000B4EF9"/>
    <w:rsid w:val="000B698E"/>
    <w:rsid w:val="000B6AF2"/>
    <w:rsid w:val="000C2268"/>
    <w:rsid w:val="000C2CA5"/>
    <w:rsid w:val="000C41A8"/>
    <w:rsid w:val="000C6169"/>
    <w:rsid w:val="000C6E22"/>
    <w:rsid w:val="000D0254"/>
    <w:rsid w:val="000D45DF"/>
    <w:rsid w:val="000D5CF0"/>
    <w:rsid w:val="000D6FD4"/>
    <w:rsid w:val="000D7C83"/>
    <w:rsid w:val="000E0AE4"/>
    <w:rsid w:val="000E265E"/>
    <w:rsid w:val="000E2AA3"/>
    <w:rsid w:val="000E3DBC"/>
    <w:rsid w:val="000E663A"/>
    <w:rsid w:val="000E7DE4"/>
    <w:rsid w:val="000F1514"/>
    <w:rsid w:val="000F5E4D"/>
    <w:rsid w:val="00100947"/>
    <w:rsid w:val="00102112"/>
    <w:rsid w:val="00102971"/>
    <w:rsid w:val="00102F77"/>
    <w:rsid w:val="0010452C"/>
    <w:rsid w:val="00111700"/>
    <w:rsid w:val="00113CE3"/>
    <w:rsid w:val="00117522"/>
    <w:rsid w:val="00117B4B"/>
    <w:rsid w:val="00122815"/>
    <w:rsid w:val="00123178"/>
    <w:rsid w:val="00125092"/>
    <w:rsid w:val="00126971"/>
    <w:rsid w:val="00133323"/>
    <w:rsid w:val="001354CA"/>
    <w:rsid w:val="00135541"/>
    <w:rsid w:val="00140034"/>
    <w:rsid w:val="001443F9"/>
    <w:rsid w:val="001461DF"/>
    <w:rsid w:val="001542D8"/>
    <w:rsid w:val="00154554"/>
    <w:rsid w:val="0015685F"/>
    <w:rsid w:val="0016515A"/>
    <w:rsid w:val="00166F10"/>
    <w:rsid w:val="001678D9"/>
    <w:rsid w:val="0017204F"/>
    <w:rsid w:val="00175AA2"/>
    <w:rsid w:val="00177B79"/>
    <w:rsid w:val="00180C41"/>
    <w:rsid w:val="00182C4C"/>
    <w:rsid w:val="001916A8"/>
    <w:rsid w:val="00192DBC"/>
    <w:rsid w:val="001943FF"/>
    <w:rsid w:val="00196DE9"/>
    <w:rsid w:val="00197D8D"/>
    <w:rsid w:val="001A09CE"/>
    <w:rsid w:val="001A1A75"/>
    <w:rsid w:val="001A1AAA"/>
    <w:rsid w:val="001A4E33"/>
    <w:rsid w:val="001A4E71"/>
    <w:rsid w:val="001A7E9A"/>
    <w:rsid w:val="001B0D83"/>
    <w:rsid w:val="001B3E34"/>
    <w:rsid w:val="001B50E3"/>
    <w:rsid w:val="001B7CC7"/>
    <w:rsid w:val="001C27A3"/>
    <w:rsid w:val="001C31FA"/>
    <w:rsid w:val="001C5295"/>
    <w:rsid w:val="001C6967"/>
    <w:rsid w:val="001C73E8"/>
    <w:rsid w:val="001C7A3C"/>
    <w:rsid w:val="001D5F6B"/>
    <w:rsid w:val="001E09FA"/>
    <w:rsid w:val="001E1099"/>
    <w:rsid w:val="001E1A48"/>
    <w:rsid w:val="001E7802"/>
    <w:rsid w:val="001F49E7"/>
    <w:rsid w:val="001F7367"/>
    <w:rsid w:val="00202004"/>
    <w:rsid w:val="00203540"/>
    <w:rsid w:val="00204710"/>
    <w:rsid w:val="00205303"/>
    <w:rsid w:val="00214C09"/>
    <w:rsid w:val="0021612B"/>
    <w:rsid w:val="0022083A"/>
    <w:rsid w:val="00221D07"/>
    <w:rsid w:val="00223D1A"/>
    <w:rsid w:val="00225392"/>
    <w:rsid w:val="00225C32"/>
    <w:rsid w:val="00227E4A"/>
    <w:rsid w:val="00227F3F"/>
    <w:rsid w:val="0023214F"/>
    <w:rsid w:val="00232D10"/>
    <w:rsid w:val="00235233"/>
    <w:rsid w:val="0023777F"/>
    <w:rsid w:val="00243293"/>
    <w:rsid w:val="00244A35"/>
    <w:rsid w:val="002455DE"/>
    <w:rsid w:val="0024582E"/>
    <w:rsid w:val="00245996"/>
    <w:rsid w:val="00245C56"/>
    <w:rsid w:val="002528EE"/>
    <w:rsid w:val="0025368F"/>
    <w:rsid w:val="00254349"/>
    <w:rsid w:val="002547EF"/>
    <w:rsid w:val="00256D65"/>
    <w:rsid w:val="00257374"/>
    <w:rsid w:val="00261718"/>
    <w:rsid w:val="00267142"/>
    <w:rsid w:val="002674F6"/>
    <w:rsid w:val="0026777E"/>
    <w:rsid w:val="0027016E"/>
    <w:rsid w:val="002709B8"/>
    <w:rsid w:val="00270AD2"/>
    <w:rsid w:val="00270CD9"/>
    <w:rsid w:val="00271F00"/>
    <w:rsid w:val="00273A80"/>
    <w:rsid w:val="002757E0"/>
    <w:rsid w:val="00280CCE"/>
    <w:rsid w:val="00280F2E"/>
    <w:rsid w:val="00282AA3"/>
    <w:rsid w:val="00282EEB"/>
    <w:rsid w:val="00283761"/>
    <w:rsid w:val="00287424"/>
    <w:rsid w:val="002876BA"/>
    <w:rsid w:val="0029204E"/>
    <w:rsid w:val="002954E7"/>
    <w:rsid w:val="0029631C"/>
    <w:rsid w:val="00296EE3"/>
    <w:rsid w:val="002A0194"/>
    <w:rsid w:val="002A13C3"/>
    <w:rsid w:val="002A3314"/>
    <w:rsid w:val="002A3848"/>
    <w:rsid w:val="002A3AEC"/>
    <w:rsid w:val="002A5CEA"/>
    <w:rsid w:val="002A5F8B"/>
    <w:rsid w:val="002A7F6C"/>
    <w:rsid w:val="002B335F"/>
    <w:rsid w:val="002C00D1"/>
    <w:rsid w:val="002C0E96"/>
    <w:rsid w:val="002C2C9A"/>
    <w:rsid w:val="002C2CF5"/>
    <w:rsid w:val="002C4638"/>
    <w:rsid w:val="002D0D5D"/>
    <w:rsid w:val="002D1B36"/>
    <w:rsid w:val="002D6809"/>
    <w:rsid w:val="002E126D"/>
    <w:rsid w:val="002E20B6"/>
    <w:rsid w:val="002E5F78"/>
    <w:rsid w:val="002F0C04"/>
    <w:rsid w:val="002F1CE2"/>
    <w:rsid w:val="002F6461"/>
    <w:rsid w:val="002F6488"/>
    <w:rsid w:val="002F699A"/>
    <w:rsid w:val="00300945"/>
    <w:rsid w:val="00304F3A"/>
    <w:rsid w:val="00305A1B"/>
    <w:rsid w:val="00313AB4"/>
    <w:rsid w:val="00320839"/>
    <w:rsid w:val="003213F9"/>
    <w:rsid w:val="00323DBF"/>
    <w:rsid w:val="00325552"/>
    <w:rsid w:val="00326CFE"/>
    <w:rsid w:val="00326D85"/>
    <w:rsid w:val="00327D26"/>
    <w:rsid w:val="003302F3"/>
    <w:rsid w:val="003309A8"/>
    <w:rsid w:val="00331FD2"/>
    <w:rsid w:val="00332B12"/>
    <w:rsid w:val="00333450"/>
    <w:rsid w:val="0033454F"/>
    <w:rsid w:val="0033641F"/>
    <w:rsid w:val="00343C5D"/>
    <w:rsid w:val="00344892"/>
    <w:rsid w:val="00346C6D"/>
    <w:rsid w:val="00350190"/>
    <w:rsid w:val="00351B07"/>
    <w:rsid w:val="00352CF2"/>
    <w:rsid w:val="00352D36"/>
    <w:rsid w:val="0035428E"/>
    <w:rsid w:val="00356171"/>
    <w:rsid w:val="00356D7B"/>
    <w:rsid w:val="003639D9"/>
    <w:rsid w:val="00364841"/>
    <w:rsid w:val="00364E65"/>
    <w:rsid w:val="00371B29"/>
    <w:rsid w:val="0037573F"/>
    <w:rsid w:val="0037656B"/>
    <w:rsid w:val="00380245"/>
    <w:rsid w:val="003816EC"/>
    <w:rsid w:val="00391769"/>
    <w:rsid w:val="00393F9F"/>
    <w:rsid w:val="003953E1"/>
    <w:rsid w:val="003956B3"/>
    <w:rsid w:val="003A1C15"/>
    <w:rsid w:val="003A235A"/>
    <w:rsid w:val="003A4B35"/>
    <w:rsid w:val="003A5E1B"/>
    <w:rsid w:val="003A5EC7"/>
    <w:rsid w:val="003A68BE"/>
    <w:rsid w:val="003A7D56"/>
    <w:rsid w:val="003B0F56"/>
    <w:rsid w:val="003B1805"/>
    <w:rsid w:val="003B2555"/>
    <w:rsid w:val="003B3C9D"/>
    <w:rsid w:val="003B57B8"/>
    <w:rsid w:val="003B65F1"/>
    <w:rsid w:val="003B6CFE"/>
    <w:rsid w:val="003B78E0"/>
    <w:rsid w:val="003B7D86"/>
    <w:rsid w:val="003C4969"/>
    <w:rsid w:val="003C733D"/>
    <w:rsid w:val="003D1BF7"/>
    <w:rsid w:val="003D310F"/>
    <w:rsid w:val="003D3578"/>
    <w:rsid w:val="003D456F"/>
    <w:rsid w:val="003D56B7"/>
    <w:rsid w:val="003E41D5"/>
    <w:rsid w:val="003E46BA"/>
    <w:rsid w:val="003E748C"/>
    <w:rsid w:val="003E7D22"/>
    <w:rsid w:val="003F0001"/>
    <w:rsid w:val="003F1E56"/>
    <w:rsid w:val="003F25FD"/>
    <w:rsid w:val="003F42B4"/>
    <w:rsid w:val="003F45D4"/>
    <w:rsid w:val="003F6C6D"/>
    <w:rsid w:val="003F74C1"/>
    <w:rsid w:val="00403EC8"/>
    <w:rsid w:val="00405B1A"/>
    <w:rsid w:val="00410C76"/>
    <w:rsid w:val="004112A4"/>
    <w:rsid w:val="00411907"/>
    <w:rsid w:val="00412E7B"/>
    <w:rsid w:val="00413CA8"/>
    <w:rsid w:val="00414F14"/>
    <w:rsid w:val="004151D5"/>
    <w:rsid w:val="00417D1F"/>
    <w:rsid w:val="00417EE3"/>
    <w:rsid w:val="0042045E"/>
    <w:rsid w:val="004207EB"/>
    <w:rsid w:val="00424DC2"/>
    <w:rsid w:val="004259FB"/>
    <w:rsid w:val="00427339"/>
    <w:rsid w:val="00437276"/>
    <w:rsid w:val="00437886"/>
    <w:rsid w:val="004533E5"/>
    <w:rsid w:val="00453AF3"/>
    <w:rsid w:val="0045444A"/>
    <w:rsid w:val="004563BC"/>
    <w:rsid w:val="00456B54"/>
    <w:rsid w:val="00457417"/>
    <w:rsid w:val="004617B3"/>
    <w:rsid w:val="00461C29"/>
    <w:rsid w:val="00462795"/>
    <w:rsid w:val="004628F4"/>
    <w:rsid w:val="00464643"/>
    <w:rsid w:val="00466F9A"/>
    <w:rsid w:val="00467215"/>
    <w:rsid w:val="00467E17"/>
    <w:rsid w:val="0047144A"/>
    <w:rsid w:val="00472134"/>
    <w:rsid w:val="00473860"/>
    <w:rsid w:val="00473C51"/>
    <w:rsid w:val="00480EDB"/>
    <w:rsid w:val="00481D60"/>
    <w:rsid w:val="004828B2"/>
    <w:rsid w:val="00483653"/>
    <w:rsid w:val="00484358"/>
    <w:rsid w:val="00486793"/>
    <w:rsid w:val="0049182A"/>
    <w:rsid w:val="0049459C"/>
    <w:rsid w:val="004962A5"/>
    <w:rsid w:val="0049695F"/>
    <w:rsid w:val="004971A5"/>
    <w:rsid w:val="00497238"/>
    <w:rsid w:val="004A2037"/>
    <w:rsid w:val="004A26C9"/>
    <w:rsid w:val="004A2A10"/>
    <w:rsid w:val="004A6331"/>
    <w:rsid w:val="004B2233"/>
    <w:rsid w:val="004B40D4"/>
    <w:rsid w:val="004B594F"/>
    <w:rsid w:val="004B6041"/>
    <w:rsid w:val="004B7DCD"/>
    <w:rsid w:val="004C2CE7"/>
    <w:rsid w:val="004C65CF"/>
    <w:rsid w:val="004C6FCA"/>
    <w:rsid w:val="004D1C5E"/>
    <w:rsid w:val="004D27DD"/>
    <w:rsid w:val="004D2A91"/>
    <w:rsid w:val="004D7B82"/>
    <w:rsid w:val="004E4814"/>
    <w:rsid w:val="004E7860"/>
    <w:rsid w:val="004E7F2E"/>
    <w:rsid w:val="004F2241"/>
    <w:rsid w:val="004F4F98"/>
    <w:rsid w:val="004F5291"/>
    <w:rsid w:val="004F69F6"/>
    <w:rsid w:val="004F70B9"/>
    <w:rsid w:val="004F79AC"/>
    <w:rsid w:val="004F7D7C"/>
    <w:rsid w:val="00500F2A"/>
    <w:rsid w:val="005017CF"/>
    <w:rsid w:val="00501961"/>
    <w:rsid w:val="0051018E"/>
    <w:rsid w:val="005102D4"/>
    <w:rsid w:val="005174A0"/>
    <w:rsid w:val="005207D8"/>
    <w:rsid w:val="00522752"/>
    <w:rsid w:val="00523191"/>
    <w:rsid w:val="0052722D"/>
    <w:rsid w:val="0053464E"/>
    <w:rsid w:val="00534B19"/>
    <w:rsid w:val="00537534"/>
    <w:rsid w:val="00540EE2"/>
    <w:rsid w:val="0054272D"/>
    <w:rsid w:val="0054627A"/>
    <w:rsid w:val="0054703B"/>
    <w:rsid w:val="00547DE4"/>
    <w:rsid w:val="0055734C"/>
    <w:rsid w:val="00562413"/>
    <w:rsid w:val="00562452"/>
    <w:rsid w:val="00562917"/>
    <w:rsid w:val="00562970"/>
    <w:rsid w:val="005675A9"/>
    <w:rsid w:val="00572799"/>
    <w:rsid w:val="0057300A"/>
    <w:rsid w:val="005738A6"/>
    <w:rsid w:val="00576153"/>
    <w:rsid w:val="00576154"/>
    <w:rsid w:val="0057615C"/>
    <w:rsid w:val="005761E8"/>
    <w:rsid w:val="00586228"/>
    <w:rsid w:val="005903BB"/>
    <w:rsid w:val="00592A35"/>
    <w:rsid w:val="00594996"/>
    <w:rsid w:val="00596E66"/>
    <w:rsid w:val="005A1D97"/>
    <w:rsid w:val="005A2E25"/>
    <w:rsid w:val="005A58F3"/>
    <w:rsid w:val="005A6873"/>
    <w:rsid w:val="005B0DB8"/>
    <w:rsid w:val="005B56E9"/>
    <w:rsid w:val="005B6AF4"/>
    <w:rsid w:val="005B7A73"/>
    <w:rsid w:val="005B7A7E"/>
    <w:rsid w:val="005C04CB"/>
    <w:rsid w:val="005C1B31"/>
    <w:rsid w:val="005C4B6E"/>
    <w:rsid w:val="005D16AD"/>
    <w:rsid w:val="005D3DC0"/>
    <w:rsid w:val="005D4631"/>
    <w:rsid w:val="005D543D"/>
    <w:rsid w:val="005D5EB3"/>
    <w:rsid w:val="005D72E1"/>
    <w:rsid w:val="005E6E16"/>
    <w:rsid w:val="005E73D7"/>
    <w:rsid w:val="005E7B17"/>
    <w:rsid w:val="005F2982"/>
    <w:rsid w:val="005F2C33"/>
    <w:rsid w:val="005F3F73"/>
    <w:rsid w:val="005F400E"/>
    <w:rsid w:val="005F4F11"/>
    <w:rsid w:val="005F5DC5"/>
    <w:rsid w:val="005F7342"/>
    <w:rsid w:val="00603A08"/>
    <w:rsid w:val="00603CF0"/>
    <w:rsid w:val="00605206"/>
    <w:rsid w:val="00606704"/>
    <w:rsid w:val="00610A3C"/>
    <w:rsid w:val="00611DC2"/>
    <w:rsid w:val="00616026"/>
    <w:rsid w:val="00625176"/>
    <w:rsid w:val="00625433"/>
    <w:rsid w:val="00627F48"/>
    <w:rsid w:val="00630C23"/>
    <w:rsid w:val="00630F9C"/>
    <w:rsid w:val="00633570"/>
    <w:rsid w:val="00635A07"/>
    <w:rsid w:val="00642A92"/>
    <w:rsid w:val="006436D8"/>
    <w:rsid w:val="006460AB"/>
    <w:rsid w:val="00650269"/>
    <w:rsid w:val="00651847"/>
    <w:rsid w:val="006531F7"/>
    <w:rsid w:val="00654118"/>
    <w:rsid w:val="00655270"/>
    <w:rsid w:val="006605F3"/>
    <w:rsid w:val="00663488"/>
    <w:rsid w:val="00663FCF"/>
    <w:rsid w:val="006652A2"/>
    <w:rsid w:val="00667162"/>
    <w:rsid w:val="00670385"/>
    <w:rsid w:val="006706A8"/>
    <w:rsid w:val="00677640"/>
    <w:rsid w:val="006860C0"/>
    <w:rsid w:val="0068647D"/>
    <w:rsid w:val="00690206"/>
    <w:rsid w:val="00691761"/>
    <w:rsid w:val="006937FF"/>
    <w:rsid w:val="006A0C36"/>
    <w:rsid w:val="006A4320"/>
    <w:rsid w:val="006A48A7"/>
    <w:rsid w:val="006A50EC"/>
    <w:rsid w:val="006A6116"/>
    <w:rsid w:val="006A7BEB"/>
    <w:rsid w:val="006B170F"/>
    <w:rsid w:val="006B1D48"/>
    <w:rsid w:val="006B36B8"/>
    <w:rsid w:val="006B3E85"/>
    <w:rsid w:val="006B4897"/>
    <w:rsid w:val="006B4BA1"/>
    <w:rsid w:val="006B51D0"/>
    <w:rsid w:val="006B5EBE"/>
    <w:rsid w:val="006C11E4"/>
    <w:rsid w:val="006C50B9"/>
    <w:rsid w:val="006C5CF5"/>
    <w:rsid w:val="006D3C3D"/>
    <w:rsid w:val="006D4007"/>
    <w:rsid w:val="006E1327"/>
    <w:rsid w:val="006F09B1"/>
    <w:rsid w:val="006F1C28"/>
    <w:rsid w:val="006F4A82"/>
    <w:rsid w:val="006F5118"/>
    <w:rsid w:val="006F67C2"/>
    <w:rsid w:val="006F6D8D"/>
    <w:rsid w:val="0070373B"/>
    <w:rsid w:val="007045B7"/>
    <w:rsid w:val="00705D0F"/>
    <w:rsid w:val="00710D65"/>
    <w:rsid w:val="00710F4D"/>
    <w:rsid w:val="007136D0"/>
    <w:rsid w:val="007142EC"/>
    <w:rsid w:val="00716ABB"/>
    <w:rsid w:val="00717367"/>
    <w:rsid w:val="00721E76"/>
    <w:rsid w:val="00722743"/>
    <w:rsid w:val="00723203"/>
    <w:rsid w:val="00724FA4"/>
    <w:rsid w:val="00730800"/>
    <w:rsid w:val="007531C4"/>
    <w:rsid w:val="00753E28"/>
    <w:rsid w:val="00757AF2"/>
    <w:rsid w:val="007602AA"/>
    <w:rsid w:val="00760F54"/>
    <w:rsid w:val="00762248"/>
    <w:rsid w:val="00763E4D"/>
    <w:rsid w:val="007652EF"/>
    <w:rsid w:val="00765B86"/>
    <w:rsid w:val="0076774E"/>
    <w:rsid w:val="0077170A"/>
    <w:rsid w:val="00772BDC"/>
    <w:rsid w:val="007752E6"/>
    <w:rsid w:val="00777483"/>
    <w:rsid w:val="00780792"/>
    <w:rsid w:val="00781D34"/>
    <w:rsid w:val="007872A9"/>
    <w:rsid w:val="00787E90"/>
    <w:rsid w:val="00790249"/>
    <w:rsid w:val="00790EB8"/>
    <w:rsid w:val="00793240"/>
    <w:rsid w:val="00796562"/>
    <w:rsid w:val="007A44B4"/>
    <w:rsid w:val="007A4589"/>
    <w:rsid w:val="007A6822"/>
    <w:rsid w:val="007A7D3D"/>
    <w:rsid w:val="007B225D"/>
    <w:rsid w:val="007B335B"/>
    <w:rsid w:val="007B63FD"/>
    <w:rsid w:val="007B6EF9"/>
    <w:rsid w:val="007B70FB"/>
    <w:rsid w:val="007C174F"/>
    <w:rsid w:val="007C1C64"/>
    <w:rsid w:val="007C5D51"/>
    <w:rsid w:val="007C7B74"/>
    <w:rsid w:val="007D03EA"/>
    <w:rsid w:val="007D4324"/>
    <w:rsid w:val="007D5282"/>
    <w:rsid w:val="007D5EA2"/>
    <w:rsid w:val="007D6608"/>
    <w:rsid w:val="007D79A1"/>
    <w:rsid w:val="007E391C"/>
    <w:rsid w:val="007E48BC"/>
    <w:rsid w:val="007E59AE"/>
    <w:rsid w:val="007E6222"/>
    <w:rsid w:val="007E6E4E"/>
    <w:rsid w:val="007E79F7"/>
    <w:rsid w:val="007F1234"/>
    <w:rsid w:val="007F1C7E"/>
    <w:rsid w:val="007F3630"/>
    <w:rsid w:val="007F61A4"/>
    <w:rsid w:val="007F6672"/>
    <w:rsid w:val="0080158A"/>
    <w:rsid w:val="00806267"/>
    <w:rsid w:val="00807559"/>
    <w:rsid w:val="00810DB8"/>
    <w:rsid w:val="00815980"/>
    <w:rsid w:val="008172B8"/>
    <w:rsid w:val="00817C29"/>
    <w:rsid w:val="00826003"/>
    <w:rsid w:val="00834CB0"/>
    <w:rsid w:val="00836288"/>
    <w:rsid w:val="00836EEF"/>
    <w:rsid w:val="00841123"/>
    <w:rsid w:val="008450BC"/>
    <w:rsid w:val="00845D67"/>
    <w:rsid w:val="008520ED"/>
    <w:rsid w:val="00852493"/>
    <w:rsid w:val="00852F3F"/>
    <w:rsid w:val="0085334B"/>
    <w:rsid w:val="008574E0"/>
    <w:rsid w:val="00860FD3"/>
    <w:rsid w:val="0086533B"/>
    <w:rsid w:val="00867942"/>
    <w:rsid w:val="00870214"/>
    <w:rsid w:val="00880F30"/>
    <w:rsid w:val="00881738"/>
    <w:rsid w:val="008832EE"/>
    <w:rsid w:val="00885C51"/>
    <w:rsid w:val="00885EB0"/>
    <w:rsid w:val="0088648F"/>
    <w:rsid w:val="00891D89"/>
    <w:rsid w:val="00891F4B"/>
    <w:rsid w:val="0089264A"/>
    <w:rsid w:val="00893007"/>
    <w:rsid w:val="00896B85"/>
    <w:rsid w:val="008A1805"/>
    <w:rsid w:val="008A1D2B"/>
    <w:rsid w:val="008A22BE"/>
    <w:rsid w:val="008A3316"/>
    <w:rsid w:val="008A334D"/>
    <w:rsid w:val="008A742D"/>
    <w:rsid w:val="008B13AD"/>
    <w:rsid w:val="008B1561"/>
    <w:rsid w:val="008B3D04"/>
    <w:rsid w:val="008B4FF5"/>
    <w:rsid w:val="008B57EE"/>
    <w:rsid w:val="008C06CB"/>
    <w:rsid w:val="008C1B36"/>
    <w:rsid w:val="008C2524"/>
    <w:rsid w:val="008C3A5E"/>
    <w:rsid w:val="008C766A"/>
    <w:rsid w:val="008D06C6"/>
    <w:rsid w:val="008D09A1"/>
    <w:rsid w:val="008D6C31"/>
    <w:rsid w:val="008E2C5D"/>
    <w:rsid w:val="008E2CBA"/>
    <w:rsid w:val="008E4C43"/>
    <w:rsid w:val="008E6250"/>
    <w:rsid w:val="008F20A7"/>
    <w:rsid w:val="008F62D8"/>
    <w:rsid w:val="00900D4B"/>
    <w:rsid w:val="009017FD"/>
    <w:rsid w:val="00901BA2"/>
    <w:rsid w:val="00902AF6"/>
    <w:rsid w:val="00904567"/>
    <w:rsid w:val="009059F6"/>
    <w:rsid w:val="009066E2"/>
    <w:rsid w:val="00906A62"/>
    <w:rsid w:val="0091080B"/>
    <w:rsid w:val="00912369"/>
    <w:rsid w:val="00917E3A"/>
    <w:rsid w:val="00920249"/>
    <w:rsid w:val="0092099F"/>
    <w:rsid w:val="00921CCE"/>
    <w:rsid w:val="0092277F"/>
    <w:rsid w:val="0092314A"/>
    <w:rsid w:val="00923A12"/>
    <w:rsid w:val="00924C80"/>
    <w:rsid w:val="00926928"/>
    <w:rsid w:val="00927406"/>
    <w:rsid w:val="00930CBA"/>
    <w:rsid w:val="0093274B"/>
    <w:rsid w:val="00932F14"/>
    <w:rsid w:val="0094247F"/>
    <w:rsid w:val="00942D60"/>
    <w:rsid w:val="00944B1A"/>
    <w:rsid w:val="0096523B"/>
    <w:rsid w:val="00966EE3"/>
    <w:rsid w:val="009702EB"/>
    <w:rsid w:val="00972D06"/>
    <w:rsid w:val="00975775"/>
    <w:rsid w:val="00981DC2"/>
    <w:rsid w:val="00983233"/>
    <w:rsid w:val="00985683"/>
    <w:rsid w:val="009878AC"/>
    <w:rsid w:val="00987951"/>
    <w:rsid w:val="00991165"/>
    <w:rsid w:val="00992CEE"/>
    <w:rsid w:val="00993F46"/>
    <w:rsid w:val="00994831"/>
    <w:rsid w:val="009A391C"/>
    <w:rsid w:val="009A50F2"/>
    <w:rsid w:val="009A5867"/>
    <w:rsid w:val="009A5890"/>
    <w:rsid w:val="009A7CFC"/>
    <w:rsid w:val="009B4982"/>
    <w:rsid w:val="009B5877"/>
    <w:rsid w:val="009B5AED"/>
    <w:rsid w:val="009B6559"/>
    <w:rsid w:val="009C2299"/>
    <w:rsid w:val="009C28D5"/>
    <w:rsid w:val="009C7BA3"/>
    <w:rsid w:val="009C7EAF"/>
    <w:rsid w:val="009D500D"/>
    <w:rsid w:val="009D504E"/>
    <w:rsid w:val="009D68BB"/>
    <w:rsid w:val="009E0741"/>
    <w:rsid w:val="009E0A61"/>
    <w:rsid w:val="009E3010"/>
    <w:rsid w:val="009E61C6"/>
    <w:rsid w:val="009E7AD3"/>
    <w:rsid w:val="009F007E"/>
    <w:rsid w:val="009F4AE6"/>
    <w:rsid w:val="009F5B38"/>
    <w:rsid w:val="009F7065"/>
    <w:rsid w:val="00A07E06"/>
    <w:rsid w:val="00A10B68"/>
    <w:rsid w:val="00A15A7E"/>
    <w:rsid w:val="00A164B3"/>
    <w:rsid w:val="00A16893"/>
    <w:rsid w:val="00A2303D"/>
    <w:rsid w:val="00A23A31"/>
    <w:rsid w:val="00A266BD"/>
    <w:rsid w:val="00A3271F"/>
    <w:rsid w:val="00A36CB7"/>
    <w:rsid w:val="00A36D75"/>
    <w:rsid w:val="00A4058B"/>
    <w:rsid w:val="00A4175D"/>
    <w:rsid w:val="00A43231"/>
    <w:rsid w:val="00A441BF"/>
    <w:rsid w:val="00A449AA"/>
    <w:rsid w:val="00A44DB8"/>
    <w:rsid w:val="00A47806"/>
    <w:rsid w:val="00A50C53"/>
    <w:rsid w:val="00A54E69"/>
    <w:rsid w:val="00A55D66"/>
    <w:rsid w:val="00A56DC7"/>
    <w:rsid w:val="00A63E0D"/>
    <w:rsid w:val="00A71436"/>
    <w:rsid w:val="00A74FD1"/>
    <w:rsid w:val="00A77BFA"/>
    <w:rsid w:val="00A77E0C"/>
    <w:rsid w:val="00A80853"/>
    <w:rsid w:val="00A837A2"/>
    <w:rsid w:val="00A844B9"/>
    <w:rsid w:val="00A84A58"/>
    <w:rsid w:val="00A90256"/>
    <w:rsid w:val="00A920C9"/>
    <w:rsid w:val="00A926C9"/>
    <w:rsid w:val="00A94501"/>
    <w:rsid w:val="00A9498A"/>
    <w:rsid w:val="00AA0768"/>
    <w:rsid w:val="00AA1127"/>
    <w:rsid w:val="00AA2EFD"/>
    <w:rsid w:val="00AA720C"/>
    <w:rsid w:val="00AB02B0"/>
    <w:rsid w:val="00AB0FC1"/>
    <w:rsid w:val="00AB3C9A"/>
    <w:rsid w:val="00AB4E4D"/>
    <w:rsid w:val="00AC3D6B"/>
    <w:rsid w:val="00AC69E6"/>
    <w:rsid w:val="00AD18A9"/>
    <w:rsid w:val="00AD1D59"/>
    <w:rsid w:val="00AD6E64"/>
    <w:rsid w:val="00AE6A3A"/>
    <w:rsid w:val="00AE730E"/>
    <w:rsid w:val="00AF06FC"/>
    <w:rsid w:val="00AF2D8C"/>
    <w:rsid w:val="00AF3391"/>
    <w:rsid w:val="00AF387F"/>
    <w:rsid w:val="00AF5EA7"/>
    <w:rsid w:val="00AF6B2C"/>
    <w:rsid w:val="00AF7C14"/>
    <w:rsid w:val="00B00E7F"/>
    <w:rsid w:val="00B041BF"/>
    <w:rsid w:val="00B0539E"/>
    <w:rsid w:val="00B105FC"/>
    <w:rsid w:val="00B11181"/>
    <w:rsid w:val="00B12F1E"/>
    <w:rsid w:val="00B1671D"/>
    <w:rsid w:val="00B173DA"/>
    <w:rsid w:val="00B211B8"/>
    <w:rsid w:val="00B21DCC"/>
    <w:rsid w:val="00B22751"/>
    <w:rsid w:val="00B234CE"/>
    <w:rsid w:val="00B23537"/>
    <w:rsid w:val="00B24B61"/>
    <w:rsid w:val="00B24B68"/>
    <w:rsid w:val="00B25F37"/>
    <w:rsid w:val="00B3064C"/>
    <w:rsid w:val="00B31433"/>
    <w:rsid w:val="00B3576B"/>
    <w:rsid w:val="00B376CF"/>
    <w:rsid w:val="00B37BF0"/>
    <w:rsid w:val="00B44422"/>
    <w:rsid w:val="00B453AA"/>
    <w:rsid w:val="00B469C6"/>
    <w:rsid w:val="00B46EA0"/>
    <w:rsid w:val="00B472E7"/>
    <w:rsid w:val="00B50400"/>
    <w:rsid w:val="00B5101B"/>
    <w:rsid w:val="00B530C5"/>
    <w:rsid w:val="00B57806"/>
    <w:rsid w:val="00B731D3"/>
    <w:rsid w:val="00B74E0E"/>
    <w:rsid w:val="00B80BF6"/>
    <w:rsid w:val="00B839A3"/>
    <w:rsid w:val="00B84B2E"/>
    <w:rsid w:val="00B84F5F"/>
    <w:rsid w:val="00B902BD"/>
    <w:rsid w:val="00B9307C"/>
    <w:rsid w:val="00B9401C"/>
    <w:rsid w:val="00B96BA3"/>
    <w:rsid w:val="00BA11F8"/>
    <w:rsid w:val="00BA12C7"/>
    <w:rsid w:val="00BA24E2"/>
    <w:rsid w:val="00BA2D96"/>
    <w:rsid w:val="00BC434B"/>
    <w:rsid w:val="00BC46B1"/>
    <w:rsid w:val="00BC741C"/>
    <w:rsid w:val="00BD04ED"/>
    <w:rsid w:val="00BD1D58"/>
    <w:rsid w:val="00BD2A39"/>
    <w:rsid w:val="00BD2C9D"/>
    <w:rsid w:val="00BD2E80"/>
    <w:rsid w:val="00BD4044"/>
    <w:rsid w:val="00BD5FB5"/>
    <w:rsid w:val="00BE11B8"/>
    <w:rsid w:val="00BE1B97"/>
    <w:rsid w:val="00BE238F"/>
    <w:rsid w:val="00BE32B1"/>
    <w:rsid w:val="00BE6533"/>
    <w:rsid w:val="00BE6819"/>
    <w:rsid w:val="00BF41DD"/>
    <w:rsid w:val="00BF5D16"/>
    <w:rsid w:val="00BF5F90"/>
    <w:rsid w:val="00BF6D6E"/>
    <w:rsid w:val="00BF730F"/>
    <w:rsid w:val="00BF7FF0"/>
    <w:rsid w:val="00C0237C"/>
    <w:rsid w:val="00C02E1B"/>
    <w:rsid w:val="00C0461B"/>
    <w:rsid w:val="00C054F8"/>
    <w:rsid w:val="00C057F4"/>
    <w:rsid w:val="00C1078A"/>
    <w:rsid w:val="00C12502"/>
    <w:rsid w:val="00C13795"/>
    <w:rsid w:val="00C13E25"/>
    <w:rsid w:val="00C1707F"/>
    <w:rsid w:val="00C17776"/>
    <w:rsid w:val="00C17C15"/>
    <w:rsid w:val="00C27302"/>
    <w:rsid w:val="00C32DB7"/>
    <w:rsid w:val="00C35400"/>
    <w:rsid w:val="00C36578"/>
    <w:rsid w:val="00C37574"/>
    <w:rsid w:val="00C377DE"/>
    <w:rsid w:val="00C40AA5"/>
    <w:rsid w:val="00C418A0"/>
    <w:rsid w:val="00C46F70"/>
    <w:rsid w:val="00C476D0"/>
    <w:rsid w:val="00C47AD0"/>
    <w:rsid w:val="00C515A5"/>
    <w:rsid w:val="00C54210"/>
    <w:rsid w:val="00C55A77"/>
    <w:rsid w:val="00C56E9E"/>
    <w:rsid w:val="00C57386"/>
    <w:rsid w:val="00C57607"/>
    <w:rsid w:val="00C61AC1"/>
    <w:rsid w:val="00C70966"/>
    <w:rsid w:val="00C724C4"/>
    <w:rsid w:val="00C758FE"/>
    <w:rsid w:val="00C82885"/>
    <w:rsid w:val="00C836E3"/>
    <w:rsid w:val="00C83AC6"/>
    <w:rsid w:val="00C83C50"/>
    <w:rsid w:val="00C86577"/>
    <w:rsid w:val="00C92E07"/>
    <w:rsid w:val="00C94EC8"/>
    <w:rsid w:val="00C965B4"/>
    <w:rsid w:val="00C96868"/>
    <w:rsid w:val="00C96B3A"/>
    <w:rsid w:val="00C974CB"/>
    <w:rsid w:val="00CA0416"/>
    <w:rsid w:val="00CA0745"/>
    <w:rsid w:val="00CA2862"/>
    <w:rsid w:val="00CA641D"/>
    <w:rsid w:val="00CA733A"/>
    <w:rsid w:val="00CB134F"/>
    <w:rsid w:val="00CB4ADA"/>
    <w:rsid w:val="00CB6067"/>
    <w:rsid w:val="00CC19D5"/>
    <w:rsid w:val="00CC1B24"/>
    <w:rsid w:val="00CC1EB3"/>
    <w:rsid w:val="00CC2E40"/>
    <w:rsid w:val="00CC312C"/>
    <w:rsid w:val="00CC4C1A"/>
    <w:rsid w:val="00CC54A8"/>
    <w:rsid w:val="00CC560B"/>
    <w:rsid w:val="00CC5E79"/>
    <w:rsid w:val="00CC75E2"/>
    <w:rsid w:val="00CD0FB3"/>
    <w:rsid w:val="00CD3AFB"/>
    <w:rsid w:val="00CD46EB"/>
    <w:rsid w:val="00CD6EB5"/>
    <w:rsid w:val="00CD7EBF"/>
    <w:rsid w:val="00CE7BD8"/>
    <w:rsid w:val="00CF7068"/>
    <w:rsid w:val="00D0455A"/>
    <w:rsid w:val="00D056F1"/>
    <w:rsid w:val="00D071C9"/>
    <w:rsid w:val="00D07FFE"/>
    <w:rsid w:val="00D11171"/>
    <w:rsid w:val="00D14B9F"/>
    <w:rsid w:val="00D15FAC"/>
    <w:rsid w:val="00D1681A"/>
    <w:rsid w:val="00D22F3C"/>
    <w:rsid w:val="00D23DB6"/>
    <w:rsid w:val="00D245EA"/>
    <w:rsid w:val="00D24CFD"/>
    <w:rsid w:val="00D26F80"/>
    <w:rsid w:val="00D3073D"/>
    <w:rsid w:val="00D30F33"/>
    <w:rsid w:val="00D30FBD"/>
    <w:rsid w:val="00D31C3E"/>
    <w:rsid w:val="00D324DD"/>
    <w:rsid w:val="00D36D93"/>
    <w:rsid w:val="00D36E6B"/>
    <w:rsid w:val="00D40B78"/>
    <w:rsid w:val="00D43A48"/>
    <w:rsid w:val="00D43FE6"/>
    <w:rsid w:val="00D45A65"/>
    <w:rsid w:val="00D51A95"/>
    <w:rsid w:val="00D53791"/>
    <w:rsid w:val="00D55228"/>
    <w:rsid w:val="00D566C5"/>
    <w:rsid w:val="00D57164"/>
    <w:rsid w:val="00D57D6D"/>
    <w:rsid w:val="00D60568"/>
    <w:rsid w:val="00D62418"/>
    <w:rsid w:val="00D63A29"/>
    <w:rsid w:val="00D70C7A"/>
    <w:rsid w:val="00D70E40"/>
    <w:rsid w:val="00D7348C"/>
    <w:rsid w:val="00D75375"/>
    <w:rsid w:val="00D7711E"/>
    <w:rsid w:val="00D81D38"/>
    <w:rsid w:val="00D83330"/>
    <w:rsid w:val="00D93BB5"/>
    <w:rsid w:val="00D9463E"/>
    <w:rsid w:val="00D9620E"/>
    <w:rsid w:val="00D9711B"/>
    <w:rsid w:val="00DA10A8"/>
    <w:rsid w:val="00DA346F"/>
    <w:rsid w:val="00DA3A2C"/>
    <w:rsid w:val="00DA673B"/>
    <w:rsid w:val="00DA7310"/>
    <w:rsid w:val="00DA7AA6"/>
    <w:rsid w:val="00DB1E08"/>
    <w:rsid w:val="00DB2973"/>
    <w:rsid w:val="00DB3590"/>
    <w:rsid w:val="00DB479A"/>
    <w:rsid w:val="00DB6087"/>
    <w:rsid w:val="00DB7BA2"/>
    <w:rsid w:val="00DC1AD9"/>
    <w:rsid w:val="00DC1B56"/>
    <w:rsid w:val="00DC2129"/>
    <w:rsid w:val="00DC26F6"/>
    <w:rsid w:val="00DC2E63"/>
    <w:rsid w:val="00DC5902"/>
    <w:rsid w:val="00DC63F1"/>
    <w:rsid w:val="00DC6570"/>
    <w:rsid w:val="00DD105A"/>
    <w:rsid w:val="00DD3C5E"/>
    <w:rsid w:val="00DD61C1"/>
    <w:rsid w:val="00DD650A"/>
    <w:rsid w:val="00DE1415"/>
    <w:rsid w:val="00DE1BD0"/>
    <w:rsid w:val="00DE3834"/>
    <w:rsid w:val="00DE7865"/>
    <w:rsid w:val="00DF25C3"/>
    <w:rsid w:val="00DF4F0F"/>
    <w:rsid w:val="00DF5152"/>
    <w:rsid w:val="00DF7671"/>
    <w:rsid w:val="00E002DF"/>
    <w:rsid w:val="00E0041D"/>
    <w:rsid w:val="00E008A5"/>
    <w:rsid w:val="00E04062"/>
    <w:rsid w:val="00E063C6"/>
    <w:rsid w:val="00E066BA"/>
    <w:rsid w:val="00E101A4"/>
    <w:rsid w:val="00E129DB"/>
    <w:rsid w:val="00E13D36"/>
    <w:rsid w:val="00E1531C"/>
    <w:rsid w:val="00E16EBC"/>
    <w:rsid w:val="00E2003B"/>
    <w:rsid w:val="00E203C2"/>
    <w:rsid w:val="00E2168E"/>
    <w:rsid w:val="00E22525"/>
    <w:rsid w:val="00E279D8"/>
    <w:rsid w:val="00E3042F"/>
    <w:rsid w:val="00E3088F"/>
    <w:rsid w:val="00E319B1"/>
    <w:rsid w:val="00E41CD2"/>
    <w:rsid w:val="00E44E0D"/>
    <w:rsid w:val="00E469DF"/>
    <w:rsid w:val="00E46E95"/>
    <w:rsid w:val="00E479BD"/>
    <w:rsid w:val="00E5492F"/>
    <w:rsid w:val="00E56DF1"/>
    <w:rsid w:val="00E57479"/>
    <w:rsid w:val="00E6155A"/>
    <w:rsid w:val="00E61E7F"/>
    <w:rsid w:val="00E62DEF"/>
    <w:rsid w:val="00E666F4"/>
    <w:rsid w:val="00E67F66"/>
    <w:rsid w:val="00E70A86"/>
    <w:rsid w:val="00E7200A"/>
    <w:rsid w:val="00E732D7"/>
    <w:rsid w:val="00E7415F"/>
    <w:rsid w:val="00E760B4"/>
    <w:rsid w:val="00E777EC"/>
    <w:rsid w:val="00E80FCD"/>
    <w:rsid w:val="00E823E1"/>
    <w:rsid w:val="00E83B36"/>
    <w:rsid w:val="00E864C6"/>
    <w:rsid w:val="00E904A5"/>
    <w:rsid w:val="00E94785"/>
    <w:rsid w:val="00E95E45"/>
    <w:rsid w:val="00E96D1D"/>
    <w:rsid w:val="00EA72D9"/>
    <w:rsid w:val="00EA7F2F"/>
    <w:rsid w:val="00EB4516"/>
    <w:rsid w:val="00EB5019"/>
    <w:rsid w:val="00EB6DAD"/>
    <w:rsid w:val="00EC00DE"/>
    <w:rsid w:val="00EC046C"/>
    <w:rsid w:val="00EC06EA"/>
    <w:rsid w:val="00EC1B30"/>
    <w:rsid w:val="00EC1D5A"/>
    <w:rsid w:val="00EC30E1"/>
    <w:rsid w:val="00ED0CE6"/>
    <w:rsid w:val="00ED172A"/>
    <w:rsid w:val="00ED6477"/>
    <w:rsid w:val="00EE3D54"/>
    <w:rsid w:val="00EE430D"/>
    <w:rsid w:val="00EE5690"/>
    <w:rsid w:val="00EF0ACA"/>
    <w:rsid w:val="00F04BD3"/>
    <w:rsid w:val="00F11D6D"/>
    <w:rsid w:val="00F11F6C"/>
    <w:rsid w:val="00F135D0"/>
    <w:rsid w:val="00F13D7C"/>
    <w:rsid w:val="00F14BEC"/>
    <w:rsid w:val="00F159F5"/>
    <w:rsid w:val="00F160E7"/>
    <w:rsid w:val="00F162D4"/>
    <w:rsid w:val="00F167F5"/>
    <w:rsid w:val="00F16F72"/>
    <w:rsid w:val="00F17732"/>
    <w:rsid w:val="00F2115F"/>
    <w:rsid w:val="00F225C5"/>
    <w:rsid w:val="00F23DD7"/>
    <w:rsid w:val="00F241FF"/>
    <w:rsid w:val="00F2587A"/>
    <w:rsid w:val="00F27BFA"/>
    <w:rsid w:val="00F30DB9"/>
    <w:rsid w:val="00F30EB3"/>
    <w:rsid w:val="00F32134"/>
    <w:rsid w:val="00F3482D"/>
    <w:rsid w:val="00F3715D"/>
    <w:rsid w:val="00F420C8"/>
    <w:rsid w:val="00F42A4C"/>
    <w:rsid w:val="00F434C1"/>
    <w:rsid w:val="00F604DE"/>
    <w:rsid w:val="00F60EEB"/>
    <w:rsid w:val="00F62883"/>
    <w:rsid w:val="00F62C94"/>
    <w:rsid w:val="00F674FC"/>
    <w:rsid w:val="00F8035F"/>
    <w:rsid w:val="00F80788"/>
    <w:rsid w:val="00F80FA0"/>
    <w:rsid w:val="00F82D09"/>
    <w:rsid w:val="00F83B94"/>
    <w:rsid w:val="00F8501F"/>
    <w:rsid w:val="00F85F70"/>
    <w:rsid w:val="00F90C7A"/>
    <w:rsid w:val="00F9106E"/>
    <w:rsid w:val="00F9330D"/>
    <w:rsid w:val="00F94B50"/>
    <w:rsid w:val="00F9711C"/>
    <w:rsid w:val="00F97177"/>
    <w:rsid w:val="00F979CD"/>
    <w:rsid w:val="00FA01B2"/>
    <w:rsid w:val="00FA05D8"/>
    <w:rsid w:val="00FA54C1"/>
    <w:rsid w:val="00FB3D0B"/>
    <w:rsid w:val="00FB5A19"/>
    <w:rsid w:val="00FB5B7C"/>
    <w:rsid w:val="00FB5D37"/>
    <w:rsid w:val="00FB7512"/>
    <w:rsid w:val="00FC0854"/>
    <w:rsid w:val="00FC2BEF"/>
    <w:rsid w:val="00FD1968"/>
    <w:rsid w:val="00FD342B"/>
    <w:rsid w:val="00FD4DAA"/>
    <w:rsid w:val="00FD7547"/>
    <w:rsid w:val="00FE2C40"/>
    <w:rsid w:val="00FE7B61"/>
    <w:rsid w:val="00FF3A7B"/>
    <w:rsid w:val="00FF4AC5"/>
    <w:rsid w:val="00FF5F5C"/>
    <w:rsid w:val="02D11247"/>
    <w:rsid w:val="02D540AF"/>
    <w:rsid w:val="04DA168A"/>
    <w:rsid w:val="04F8F005"/>
    <w:rsid w:val="05525FB2"/>
    <w:rsid w:val="058F45AF"/>
    <w:rsid w:val="06A915B8"/>
    <w:rsid w:val="06AFB816"/>
    <w:rsid w:val="06F38FAE"/>
    <w:rsid w:val="09DA3DF9"/>
    <w:rsid w:val="0B0B3D26"/>
    <w:rsid w:val="0B2038A3"/>
    <w:rsid w:val="0BBD42F3"/>
    <w:rsid w:val="0BCAB721"/>
    <w:rsid w:val="0C976342"/>
    <w:rsid w:val="0CFBC9AE"/>
    <w:rsid w:val="0FA9C56A"/>
    <w:rsid w:val="0FE6ADD0"/>
    <w:rsid w:val="0FFFED85"/>
    <w:rsid w:val="12954AD2"/>
    <w:rsid w:val="13970E97"/>
    <w:rsid w:val="167459C4"/>
    <w:rsid w:val="16DD442B"/>
    <w:rsid w:val="1987ABF3"/>
    <w:rsid w:val="1A81B7B7"/>
    <w:rsid w:val="1A8F7D01"/>
    <w:rsid w:val="1ADB59B9"/>
    <w:rsid w:val="1D80E282"/>
    <w:rsid w:val="1F412972"/>
    <w:rsid w:val="20528A90"/>
    <w:rsid w:val="21CDEDF7"/>
    <w:rsid w:val="23441173"/>
    <w:rsid w:val="2475900B"/>
    <w:rsid w:val="2478EE98"/>
    <w:rsid w:val="2642B8D0"/>
    <w:rsid w:val="28FA45F0"/>
    <w:rsid w:val="2A680D77"/>
    <w:rsid w:val="2AB7060C"/>
    <w:rsid w:val="2C2E8EE8"/>
    <w:rsid w:val="2C77D569"/>
    <w:rsid w:val="2C9FC528"/>
    <w:rsid w:val="2F66B5B4"/>
    <w:rsid w:val="2FEB798E"/>
    <w:rsid w:val="304611A0"/>
    <w:rsid w:val="315EC7AE"/>
    <w:rsid w:val="318CE118"/>
    <w:rsid w:val="34449BFE"/>
    <w:rsid w:val="34C5D931"/>
    <w:rsid w:val="3593F5A1"/>
    <w:rsid w:val="36B93157"/>
    <w:rsid w:val="3700D5D8"/>
    <w:rsid w:val="372D6822"/>
    <w:rsid w:val="38188328"/>
    <w:rsid w:val="39B45389"/>
    <w:rsid w:val="39C4FB69"/>
    <w:rsid w:val="3A503D36"/>
    <w:rsid w:val="3A5CE581"/>
    <w:rsid w:val="3B5023EA"/>
    <w:rsid w:val="3B8AF9F4"/>
    <w:rsid w:val="3BF8B5E2"/>
    <w:rsid w:val="3CD2CBEE"/>
    <w:rsid w:val="3D6167FF"/>
    <w:rsid w:val="3E3D5DFA"/>
    <w:rsid w:val="3F201CA3"/>
    <w:rsid w:val="3FE54689"/>
    <w:rsid w:val="3FEEB6D9"/>
    <w:rsid w:val="40B97AB8"/>
    <w:rsid w:val="4120B127"/>
    <w:rsid w:val="4136C568"/>
    <w:rsid w:val="484E8494"/>
    <w:rsid w:val="48787336"/>
    <w:rsid w:val="49AB3477"/>
    <w:rsid w:val="5109916D"/>
    <w:rsid w:val="522CA661"/>
    <w:rsid w:val="5403148B"/>
    <w:rsid w:val="5458BCD1"/>
    <w:rsid w:val="548EB127"/>
    <w:rsid w:val="571FF29E"/>
    <w:rsid w:val="575F5C5A"/>
    <w:rsid w:val="58836B66"/>
    <w:rsid w:val="5BCF810E"/>
    <w:rsid w:val="5BDB4A19"/>
    <w:rsid w:val="5C4FDF80"/>
    <w:rsid w:val="5EBCC7FF"/>
    <w:rsid w:val="613264BD"/>
    <w:rsid w:val="63144714"/>
    <w:rsid w:val="6468F7A8"/>
    <w:rsid w:val="668BF59D"/>
    <w:rsid w:val="682A70D3"/>
    <w:rsid w:val="6956BC26"/>
    <w:rsid w:val="69BF3805"/>
    <w:rsid w:val="6D8AB923"/>
    <w:rsid w:val="6E323BD4"/>
    <w:rsid w:val="6EF19BEC"/>
    <w:rsid w:val="7362FBEA"/>
    <w:rsid w:val="7692DBD5"/>
    <w:rsid w:val="7693E1E1"/>
    <w:rsid w:val="76C2C53A"/>
    <w:rsid w:val="76D5E73C"/>
    <w:rsid w:val="7702A7C2"/>
    <w:rsid w:val="78000035"/>
    <w:rsid w:val="782F0798"/>
    <w:rsid w:val="79C9452D"/>
    <w:rsid w:val="7AF92947"/>
    <w:rsid w:val="7F3E24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4D458"/>
  <w15:docId w15:val="{A1C68E39-B611-494C-B562-CBE6FAEB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642A92"/>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AE6A3A"/>
    <w:pPr>
      <w:keepNext/>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642A92"/>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AE6A3A"/>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105FC"/>
    <w:pPr>
      <w:tabs>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9878AC"/>
    <w:pPr>
      <w:tabs>
        <w:tab w:val="right" w:leader="dot" w:pos="9060"/>
      </w:tabs>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qForma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pPr>
    <w:rPr>
      <w:rFonts w:eastAsia="Calibri"/>
      <w:szCs w:val="22"/>
      <w:lang w:bidi="ar-SA"/>
    </w:rPr>
  </w:style>
  <w:style w:type="paragraph" w:customStyle="1" w:styleId="FSBullet3">
    <w:name w:val="FSBullet 3"/>
    <w:basedOn w:val="Normal"/>
    <w:qFormat/>
    <w:rsid w:val="0029631C"/>
    <w:pPr>
      <w:keepNext/>
      <w:widowControl/>
      <w:numPr>
        <w:numId w:val="3"/>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CommentSubject">
    <w:name w:val="annotation subject"/>
    <w:basedOn w:val="CommentText"/>
    <w:next w:val="CommentText"/>
    <w:link w:val="CommentSubjectChar"/>
    <w:semiHidden/>
    <w:unhideWhenUsed/>
    <w:rsid w:val="00DC63F1"/>
    <w:rPr>
      <w:b/>
      <w:bCs/>
    </w:rPr>
  </w:style>
  <w:style w:type="character" w:customStyle="1" w:styleId="CommentSubjectChar">
    <w:name w:val="Comment Subject Char"/>
    <w:basedOn w:val="CommentTextChar"/>
    <w:link w:val="CommentSubject"/>
    <w:semiHidden/>
    <w:rsid w:val="00DC63F1"/>
    <w:rPr>
      <w:rFonts w:ascii="Arial" w:hAnsi="Arial"/>
      <w:b/>
      <w:bCs/>
      <w:lang w:eastAsia="en-US" w:bidi="en-US"/>
    </w:rPr>
  </w:style>
  <w:style w:type="paragraph" w:styleId="ListParagraph">
    <w:name w:val="List Paragraph"/>
    <w:basedOn w:val="Normal"/>
    <w:uiPriority w:val="34"/>
    <w:rsid w:val="00020DEB"/>
    <w:pPr>
      <w:ind w:left="720"/>
      <w:contextualSpacing/>
    </w:pPr>
  </w:style>
  <w:style w:type="table" w:customStyle="1" w:styleId="TableGrid31">
    <w:name w:val="Table Grid31"/>
    <w:basedOn w:val="TableNormal"/>
    <w:next w:val="TableGrid"/>
    <w:uiPriority w:val="59"/>
    <w:rsid w:val="000E7DE4"/>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42">
    <w:name w:val="Table Classic 42"/>
    <w:basedOn w:val="TableNormal"/>
    <w:rsid w:val="00015B71"/>
    <w:pPr>
      <w:widowControl w:val="0"/>
    </w:p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A16893"/>
    <w:rPr>
      <w:color w:val="605E5C"/>
      <w:shd w:val="clear" w:color="auto" w:fill="E1DFDD"/>
    </w:rPr>
  </w:style>
  <w:style w:type="table" w:customStyle="1" w:styleId="Table">
    <w:name w:val="Table"/>
    <w:basedOn w:val="TableNormal"/>
    <w:uiPriority w:val="99"/>
    <w:rsid w:val="00F60EEB"/>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character" w:customStyle="1" w:styleId="normaltextrun">
    <w:name w:val="normaltextrun"/>
    <w:basedOn w:val="DefaultParagraphFont"/>
    <w:uiPriority w:val="1"/>
    <w:rsid w:val="7702A7C2"/>
  </w:style>
  <w:style w:type="character" w:customStyle="1" w:styleId="eop">
    <w:name w:val="eop"/>
    <w:basedOn w:val="DefaultParagraphFont"/>
    <w:uiPriority w:val="1"/>
    <w:rsid w:val="7702A7C2"/>
  </w:style>
  <w:style w:type="paragraph" w:styleId="Revision">
    <w:name w:val="Revision"/>
    <w:hidden/>
    <w:uiPriority w:val="99"/>
    <w:semiHidden/>
    <w:rsid w:val="00BD2C9D"/>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994831"/>
    <w:rPr>
      <w:rFonts w:ascii="Arial" w:hAnsi="Arial"/>
      <w:lang w:eastAsia="en-US" w:bidi="en-US"/>
    </w:rPr>
  </w:style>
  <w:style w:type="character" w:styleId="Mention">
    <w:name w:val="Mention"/>
    <w:basedOn w:val="DefaultParagraphFont"/>
    <w:uiPriority w:val="99"/>
    <w:unhideWhenUsed/>
    <w:rsid w:val="004B59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060976871">
      <w:bodyDiv w:val="1"/>
      <w:marLeft w:val="0"/>
      <w:marRight w:val="0"/>
      <w:marTop w:val="0"/>
      <w:marBottom w:val="0"/>
      <w:divBdr>
        <w:top w:val="none" w:sz="0" w:space="0" w:color="auto"/>
        <w:left w:val="none" w:sz="0" w:space="0" w:color="auto"/>
        <w:bottom w:val="none" w:sz="0" w:space="0" w:color="auto"/>
        <w:right w:val="none" w:sz="0" w:space="0" w:color="auto"/>
      </w:divBdr>
      <w:divsChild>
        <w:div w:id="1664968319">
          <w:marLeft w:val="0"/>
          <w:marRight w:val="0"/>
          <w:marTop w:val="0"/>
          <w:marBottom w:val="0"/>
          <w:divBdr>
            <w:top w:val="none" w:sz="0" w:space="0" w:color="auto"/>
            <w:left w:val="none" w:sz="0" w:space="0" w:color="auto"/>
            <w:bottom w:val="none" w:sz="0" w:space="0" w:color="auto"/>
            <w:right w:val="none" w:sz="0" w:space="0" w:color="auto"/>
          </w:divBdr>
        </w:div>
        <w:div w:id="1258949484">
          <w:marLeft w:val="0"/>
          <w:marRight w:val="0"/>
          <w:marTop w:val="0"/>
          <w:marBottom w:val="0"/>
          <w:divBdr>
            <w:top w:val="none" w:sz="0" w:space="0" w:color="auto"/>
            <w:left w:val="none" w:sz="0" w:space="0" w:color="auto"/>
            <w:bottom w:val="none" w:sz="0" w:space="0" w:color="auto"/>
            <w:right w:val="none" w:sz="0" w:space="0" w:color="auto"/>
          </w:divBdr>
        </w:div>
      </w:divsChild>
    </w:div>
    <w:div w:id="1504124524">
      <w:bodyDiv w:val="1"/>
      <w:marLeft w:val="0"/>
      <w:marRight w:val="0"/>
      <w:marTop w:val="0"/>
      <w:marBottom w:val="0"/>
      <w:divBdr>
        <w:top w:val="none" w:sz="0" w:space="0" w:color="auto"/>
        <w:left w:val="none" w:sz="0" w:space="0" w:color="auto"/>
        <w:bottom w:val="none" w:sz="0" w:space="0" w:color="auto"/>
        <w:right w:val="none" w:sz="0" w:space="0" w:color="auto"/>
      </w:divBdr>
      <w:divsChild>
        <w:div w:id="1837726671">
          <w:marLeft w:val="0"/>
          <w:marRight w:val="0"/>
          <w:marTop w:val="0"/>
          <w:marBottom w:val="0"/>
          <w:divBdr>
            <w:top w:val="none" w:sz="0" w:space="0" w:color="auto"/>
            <w:left w:val="none" w:sz="0" w:space="0" w:color="auto"/>
            <w:bottom w:val="none" w:sz="0" w:space="0" w:color="auto"/>
            <w:right w:val="none" w:sz="0" w:space="0" w:color="auto"/>
          </w:divBdr>
        </w:div>
        <w:div w:id="1439061164">
          <w:marLeft w:val="0"/>
          <w:marRight w:val="0"/>
          <w:marTop w:val="0"/>
          <w:marBottom w:val="0"/>
          <w:divBdr>
            <w:top w:val="none" w:sz="0" w:space="0" w:color="auto"/>
            <w:left w:val="none" w:sz="0" w:space="0" w:color="auto"/>
            <w:bottom w:val="none" w:sz="0" w:space="0" w:color="auto"/>
            <w:right w:val="none" w:sz="0" w:space="0" w:color="auto"/>
          </w:divBdr>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ergenonline.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iubmb.qmul.ac.uk/enzyme/EC3/2/1/8.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iprot.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ao.org/3/a0675e/a0675e.pdf"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who.int/docs/default-source/food-safety/publications/chapter6-dietary-exposure.pdf?sfvrsn=26d37b15_6" TargetMode="External"/><Relationship Id="rId28"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footer" Target="footer3.xm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baua.de/DE/Angebote/Rechtstexte-und-Technische-Regeln/Regelwerk/TRBA/TRBA-460.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ao.org/food/food-safety-quality/scientific-advice/jecfa/jecfa-additives/enzymes/en/" TargetMode="External"/><Relationship Id="rId2" Type="http://schemas.openxmlformats.org/officeDocument/2006/relationships/hyperlink" Target="https://www.cdc.gov/biosafety/publications/bmbl5/index.htm" TargetMode="External"/><Relationship Id="rId1" Type="http://schemas.openxmlformats.org/officeDocument/2006/relationships/hyperlink" Target="https://www.brenda-enzymes.org/enzyme.php?ecno=3.2.1.8" TargetMode="External"/><Relationship Id="rId6" Type="http://schemas.openxmlformats.org/officeDocument/2006/relationships/hyperlink" Target="http://www.allergenonline.org/" TargetMode="External"/><Relationship Id="rId5" Type="http://schemas.openxmlformats.org/officeDocument/2006/relationships/hyperlink" Target="https://www.uniprot.org" TargetMode="External"/><Relationship Id="rId4" Type="http://schemas.openxmlformats.org/officeDocument/2006/relationships/hyperlink" Target="http://www.clustal.org/clusta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Props1.xml><?xml version="1.0" encoding="utf-8"?>
<ds:datastoreItem xmlns:ds="http://schemas.openxmlformats.org/officeDocument/2006/customXml" ds:itemID="{DC2D0765-E161-4BB7-B2AA-C88045D45C0D}"/>
</file>

<file path=customXml/itemProps2.xml><?xml version="1.0" encoding="utf-8"?>
<ds:datastoreItem xmlns:ds="http://schemas.openxmlformats.org/officeDocument/2006/customXml" ds:itemID="{8B49A6B0-3DBC-4B17-8EF6-98166A558AE7}"/>
</file>

<file path=customXml/itemProps3.xml><?xml version="1.0" encoding="utf-8"?>
<ds:datastoreItem xmlns:ds="http://schemas.openxmlformats.org/officeDocument/2006/customXml" ds:itemID="{352E0D20-FF25-4A04-AA7F-F3C8680102B0}"/>
</file>

<file path=customXml/itemProps4.xml><?xml version="1.0" encoding="utf-8"?>
<ds:datastoreItem xmlns:ds="http://schemas.openxmlformats.org/officeDocument/2006/customXml" ds:itemID="{041CBF3C-256B-4E15-BC72-F58BE9EABAA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335D023-F104-403B-BE48-C06964699FD3}"/>
</file>

<file path=customXml/itemProps6.xml><?xml version="1.0" encoding="utf-8"?>
<ds:datastoreItem xmlns:ds="http://schemas.openxmlformats.org/officeDocument/2006/customXml" ds:itemID="{041CBF3C-256B-4E15-BC72-F58BE9EABAAC}"/>
</file>

<file path=docProps/app.xml><?xml version="1.0" encoding="utf-8"?>
<Properties xmlns="http://schemas.openxmlformats.org/officeDocument/2006/extended-properties" xmlns:vt="http://schemas.openxmlformats.org/officeDocument/2006/docPropsVTypes">
  <Template>Normal</Template>
  <TotalTime>1</TotalTime>
  <Pages>15</Pages>
  <Words>6171</Words>
  <Characters>34253</Characters>
  <Application>Microsoft Office Word</Application>
  <DocSecurity>0</DocSecurity>
  <Lines>685</Lines>
  <Paragraphs>315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ronals</dc:creator>
  <cp:keywords/>
  <cp:lastModifiedBy>Tailee Vecchi</cp:lastModifiedBy>
  <cp:revision>4</cp:revision>
  <cp:lastPrinted>2022-12-07T01:00:00Z</cp:lastPrinted>
  <dcterms:created xsi:type="dcterms:W3CDTF">2023-02-07T00:51:00Z</dcterms:created>
  <dcterms:modified xsi:type="dcterms:W3CDTF">2023-02-07T00:51:00Z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5" name="bjDocumentLabelXML-0">
    <vt:lpwstr>ames.com/2008/01/sie/internal/label"&gt;&lt;element uid="dd6c74cc-0de9-4a0a-85ef-439e2ceecf74" value="" /&gt;&lt;/sisl&gt;</vt:lpwstr>
  </property>
  <property fmtid="{D5CDD505-2E9C-101B-9397-08002B2CF9AE}" pid="6" name="bjDocumentSecurityLabel">
    <vt:lpwstr>OFFICIAL</vt:lpwstr>
  </property>
  <property fmtid="{D5CDD505-2E9C-101B-9397-08002B2CF9AE}" pid="7" name="bjHeaderBothDocProperty">
    <vt:lpwstr>OFFICIAL_x000d_
 </vt:lpwstr>
  </property>
  <property fmtid="{D5CDD505-2E9C-101B-9397-08002B2CF9AE}" pid="8" name="bjHeaderFirstPageDocProperty">
    <vt:lpwstr>OFFICIAL_x000d_
 </vt:lpwstr>
  </property>
  <property fmtid="{D5CDD505-2E9C-101B-9397-08002B2CF9AE}" pid="9" name="bjHeaderEvenPageDocProperty">
    <vt:lpwstr>OFFICIAL_x000d_
 </vt:lpwstr>
  </property>
  <property fmtid="{D5CDD505-2E9C-101B-9397-08002B2CF9AE}" pid="10" name="bjFooterBothDocProperty">
    <vt:lpwstr>_x000d_
OFFICIAL </vt:lpwstr>
  </property>
  <property fmtid="{D5CDD505-2E9C-101B-9397-08002B2CF9AE}" pid="11" name="bjFooterFirstPageDocProperty">
    <vt:lpwstr>_x000d_
OFFICIAL </vt:lpwstr>
  </property>
  <property fmtid="{D5CDD505-2E9C-101B-9397-08002B2CF9AE}" pid="12" name="bjFooterEvenPageDocProperty">
    <vt:lpwstr>_x000d_
OFFICIAL </vt:lpwstr>
  </property>
  <property fmtid="{D5CDD505-2E9C-101B-9397-08002B2CF9AE}" pid="13" name="ContentTypeId">
    <vt:lpwstr>0x010100CB2FFA9FD6109347A9495CD5860AFAE6</vt:lpwstr>
  </property>
  <property fmtid="{D5CDD505-2E9C-101B-9397-08002B2CF9AE}" pid="14" name="pd3a3559ef84480a8025c4c7bb6e6dee">
    <vt:lpwstr/>
  </property>
  <property fmtid="{D5CDD505-2E9C-101B-9397-08002B2CF9AE}" pid="15" name="h46016694f704d158a57d0b5238c000e">
    <vt:lpwstr/>
  </property>
  <property fmtid="{D5CDD505-2E9C-101B-9397-08002B2CF9AE}" pid="16" name="Data_x0020_Privacy">
    <vt:lpwstr/>
  </property>
  <property fmtid="{D5CDD505-2E9C-101B-9397-08002B2CF9AE}" pid="17" name="BCS">
    <vt:lpwstr>2;#Evaluation|43cb9915-dbd2-4e45-b39d-7bc5c58c72da</vt:lpwstr>
  </property>
  <property fmtid="{D5CDD505-2E9C-101B-9397-08002B2CF9AE}" pid="18" name="Access">
    <vt:lpwstr/>
  </property>
  <property fmtid="{D5CDD505-2E9C-101B-9397-08002B2CF9AE}" pid="19" name="Classification">
    <vt:lpwstr>1;#OFFICIAL|3776503d-ed4e-4d70-8dfd-8e17b238523b</vt:lpwstr>
  </property>
  <property fmtid="{D5CDD505-2E9C-101B-9397-08002B2CF9AE}" pid="20" name="Data_x0020_Category">
    <vt:lpwstr/>
  </property>
  <property fmtid="{D5CDD505-2E9C-101B-9397-08002B2CF9AE}" pid="21" name="Data_x0020_Accessibility">
    <vt:lpwstr/>
  </property>
  <property fmtid="{D5CDD505-2E9C-101B-9397-08002B2CF9AE}" pid="22" name="o2e94e0b7bb742308b3aec7384781dc0">
    <vt:lpwstr/>
  </property>
  <property fmtid="{D5CDD505-2E9C-101B-9397-08002B2CF9AE}" pid="23" name="Data Privacy">
    <vt:lpwstr/>
  </property>
  <property fmtid="{D5CDD505-2E9C-101B-9397-08002B2CF9AE}" pid="24" name="Data Category">
    <vt:lpwstr/>
  </property>
  <property fmtid="{D5CDD505-2E9C-101B-9397-08002B2CF9AE}" pid="25" name="Data Accessibility">
    <vt:lpwstr/>
  </property>
  <property fmtid="{D5CDD505-2E9C-101B-9397-08002B2CF9AE}" pid="26" name="GrammarlyDocumentId">
    <vt:lpwstr>5e225b5456d70cafb48967fa10f6ad28d03052b80d0a229891ecac98eeee9206</vt:lpwstr>
  </property>
</Properties>
</file>